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rPr>
          <w:rFonts w:ascii="Times New Roman" w:hAnsi="Times New Roman"/>
          <w:sz w:val="24"/>
          <w:szCs w:val="24"/>
        </w:rPr>
      </w:pPr>
      <w:r>
        <w:rPr>
          <w:rFonts w:ascii="Times New Roman" w:hAnsi="Times New Roman"/>
          <w:sz w:val="24"/>
          <w:szCs w:val="24"/>
        </w:rPr>
      </w:r>
    </w:p>
    <w:tbl>
      <w:tblPr>
        <w:tblStyle w:val="a"/>
        <w:tblW w:w="9606" w:type="dxa"/>
        <w:jc w:val="start"/>
        <w:tblInd w:w="-115" w:type="dxa"/>
        <w:tblLayout w:type="fixed"/>
        <w:tblCellMar>
          <w:top w:w="0" w:type="dxa"/>
          <w:start w:w="108" w:type="dxa"/>
          <w:bottom w:w="0" w:type="dxa"/>
          <w:end w:w="108" w:type="dxa"/>
        </w:tblCellMar>
        <w:tblLook w:val="0400" w:firstRow="0" w:noVBand="1" w:lastRow="0" w:firstColumn="0" w:lastColumn="0" w:noHBand="0"/>
      </w:tblPr>
      <w:tblGrid>
        <w:gridCol w:w="3935"/>
        <w:gridCol w:w="5671"/>
      </w:tblGrid>
      <w:tr>
        <w:trPr/>
        <w:tc>
          <w:tcPr>
            <w:tcW w:w="3935" w:type="dxa"/>
            <w:tcBorders/>
          </w:tcPr>
          <w:p>
            <w:pPr>
              <w:pStyle w:val="Normal"/>
              <w:spacing w:lineRule="auto" w:line="240" w:before="0" w:after="200"/>
              <w:rPr>
                <w:rFonts w:ascii="Times New Roman" w:hAnsi="Times New Roman"/>
                <w:sz w:val="24"/>
                <w:szCs w:val="24"/>
              </w:rPr>
            </w:pPr>
            <w:r>
              <w:rPr>
                <w:rFonts w:eastAsia="Times New Roman" w:cs="Times New Roman" w:ascii="Times New Roman" w:hAnsi="Times New Roman"/>
                <w:b/>
                <w:bCs/>
                <w:sz w:val="24"/>
                <w:szCs w:val="24"/>
              </w:rPr>
              <w:t>CÔNG TY CỔ PHẦN……</w:t>
            </w:r>
          </w:p>
          <w:p>
            <w:pPr>
              <w:pStyle w:val="Normal"/>
              <w:spacing w:lineRule="auto" w:line="240" w:before="0" w:after="200"/>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Số: .../QC–LĐ</w:t>
            </w:r>
          </w:p>
        </w:tc>
        <w:tc>
          <w:tcPr>
            <w:tcW w:w="5671" w:type="dxa"/>
            <w:tcBorders/>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b/>
                <w:bCs/>
                <w:sz w:val="24"/>
                <w:szCs w:val="24"/>
              </w:rPr>
              <w:t xml:space="preserve">CỘNG HÒA XÃ HỘI CHỦ NGHĨA VIỆT NAM </w:t>
            </w:r>
            <w:r>
              <w:rPr>
                <w:rFonts w:eastAsia="Times New Roman" w:cs="Times New Roman" w:ascii="Times New Roman" w:hAnsi="Times New Roman"/>
                <w:b/>
                <w:bCs/>
                <w:sz w:val="24"/>
                <w:szCs w:val="24"/>
                <w:u w:val="single"/>
              </w:rPr>
              <w:t>Độc lập - Tự do - Hạnh phúc</w:t>
            </w:r>
          </w:p>
          <w:p>
            <w:pPr>
              <w:pStyle w:val="Normal"/>
              <w:spacing w:lineRule="auto" w:line="240" w:before="0" w:after="200"/>
              <w:jc w:val="end"/>
              <w:rPr>
                <w:rFonts w:ascii="Times New Roman" w:hAnsi="Times New Roman"/>
                <w:sz w:val="24"/>
                <w:szCs w:val="24"/>
              </w:rPr>
            </w:pPr>
            <w:r>
              <w:rPr>
                <w:rFonts w:eastAsia="Times New Roman" w:cs="Times New Roman" w:ascii="Times New Roman" w:hAnsi="Times New Roman"/>
                <w:i/>
                <w:iCs/>
                <w:sz w:val="24"/>
                <w:szCs w:val="24"/>
              </w:rPr>
              <w:t>………</w:t>
            </w:r>
            <w:r>
              <w:rPr>
                <w:rFonts w:eastAsia="Times New Roman" w:cs="Times New Roman" w:ascii="Times New Roman" w:hAnsi="Times New Roman"/>
                <w:i/>
                <w:iCs/>
                <w:sz w:val="24"/>
                <w:szCs w:val="24"/>
              </w:rPr>
              <w:t>, ngày ….tháng…. năm …..</w:t>
            </w:r>
          </w:p>
        </w:tc>
      </w:tr>
    </w:tbl>
    <w:p>
      <w:pPr>
        <w:pStyle w:val="Normal"/>
        <w:spacing w:lineRule="auto" w:line="240" w:before="0" w:after="20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0" w:after="143"/>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QUY CHẾ </w:t>
      </w:r>
    </w:p>
    <w:p>
      <w:pPr>
        <w:pStyle w:val="Normal"/>
        <w:spacing w:lineRule="auto" w:line="240" w:before="0" w:after="143"/>
        <w:jc w:val="center"/>
        <w:rPr>
          <w:rFonts w:ascii="Times New Roman" w:hAnsi="Times New Roman"/>
          <w:sz w:val="24"/>
          <w:szCs w:val="24"/>
        </w:rPr>
      </w:pPr>
      <w:bookmarkStart w:id="0" w:name="_gjdgxs"/>
      <w:bookmarkEnd w:id="0"/>
      <w:r>
        <w:rPr>
          <w:rFonts w:eastAsia="Times New Roman" w:cs="Times New Roman" w:ascii="Times New Roman" w:hAnsi="Times New Roman"/>
          <w:b/>
          <w:bCs/>
          <w:sz w:val="24"/>
          <w:szCs w:val="24"/>
        </w:rPr>
        <w:t>TIỀN LƯƠNG, TIỀN THƯỞNG CHO NGƯỜI LAO ĐỘNG</w:t>
      </w:r>
    </w:p>
    <w:p>
      <w:pPr>
        <w:pStyle w:val="Normal"/>
        <w:spacing w:lineRule="auto" w:line="240" w:before="0" w:after="143"/>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I. MỤC ĐÍCH</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Quy định về trả tiền lương, tiền thưởng cho từng cá nhân, từng bộ phận nhằm mục đích khuyến khích người lao động làm việc, hoàn thành tốt công việc theo chức danh và đóng góp quan trọng vào việc hoàn thành kế hoạch sản xuất kinh doanh của công ty.</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Quy định về các khoản mà người lao động được nhận khi làm làm việc chính thức tại công ty.</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Quy định về cách tính tiền thưởng, tiền lương của các khoản tiền lương và phụ cấp theo lương.</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Thực thi theo đúng quy định của pháp luật về lao động về lương thưởng và chế độ dành cho người lao động.</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Đảm bảo đời sống cho người lao động trong Công ty, yên tâm làm việc, công tác đáp ứng mức sống cơ bản cho người lao động trong công ty.</w:t>
      </w:r>
    </w:p>
    <w:p>
      <w:pPr>
        <w:pStyle w:val="Normal"/>
        <w:spacing w:lineRule="auto" w:line="240" w:before="0" w:after="143"/>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II. CĂN CỨ PHÁP LÝ</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Căn cứ Bộ luật Lao động số 45/2019/QH14 ngày 20/11/2019.</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Căn cứ Nghị định số 145/2020/NĐ-CP ngày 14/12/2020 của Chính phủ quy định chi tiết và hướng dẫn thi hành một số điều của Bộ luật Lao động.</w:t>
      </w:r>
    </w:p>
    <w:p>
      <w:pPr>
        <w:pStyle w:val="Normal"/>
        <w:spacing w:lineRule="auto" w:line="240" w:before="0" w:after="143"/>
        <w:jc w:val="both"/>
        <w:rPr>
          <w:rFonts w:ascii="Times New Roman" w:hAnsi="Times New Roman"/>
          <w:sz w:val="24"/>
          <w:szCs w:val="24"/>
        </w:rPr>
      </w:pPr>
      <w:r>
        <w:rPr>
          <w:rFonts w:eastAsia="Times New Roman" w:cs="Times New Roman" w:ascii="Times New Roman" w:hAnsi="Times New Roman"/>
          <w:sz w:val="24"/>
          <w:szCs w:val="24"/>
        </w:rPr>
        <w:t xml:space="preserve">Căn cứ Nghị định </w:t>
      </w:r>
      <w:r>
        <w:rPr>
          <w:rFonts w:eastAsia="Times New Roman" w:cs="Times New Roman" w:ascii="Times New Roman" w:hAnsi="Times New Roman"/>
          <w:sz w:val="24"/>
          <w:szCs w:val="24"/>
        </w:rPr>
        <w:t xml:space="preserve">số </w:t>
      </w:r>
      <w:r>
        <w:rPr>
          <w:rFonts w:eastAsia="Times New Roman" w:cs="Times New Roman" w:ascii="Times New Roman" w:hAnsi="Times New Roman"/>
          <w:sz w:val="24"/>
          <w:szCs w:val="24"/>
        </w:rPr>
        <w:t>293/2025/NĐ-CP  ngày 10 tháng 11 năm 2025 quy định mức lương tối thiểu đối với người lao động làm việc theo hợp đồng lao động.</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Căn cứ Luật Doanh nghiệp số 59/2020/QH14 ngày 17/06/2020.</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Căn cứ Điều lệ tổ chức và hoạt động của Công ty Cổ phần …</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Căn cứ Biên bản họp Hội đồng Quản trị ngày ... về việc thông qua Quy chế lương – thưởng năm 202</w:t>
      </w:r>
      <w:r>
        <w:rPr>
          <w:rFonts w:eastAsia="Times New Roman" w:cs="Times New Roman" w:ascii="Times New Roman" w:hAnsi="Times New Roman"/>
          <w:sz w:val="24"/>
          <w:szCs w:val="24"/>
        </w:rPr>
        <w:t>6</w:t>
      </w:r>
      <w:r>
        <w:rPr>
          <w:rFonts w:eastAsia="Times New Roman" w:cs="Times New Roman" w:ascii="Times New Roman" w:hAnsi="Times New Roman"/>
          <w:sz w:val="24"/>
          <w:szCs w:val="24"/>
        </w:rPr>
        <w:t xml:space="preserve"> của Công ty.</w:t>
      </w:r>
    </w:p>
    <w:p>
      <w:pPr>
        <w:pStyle w:val="Normal"/>
        <w:spacing w:lineRule="auto" w:line="240" w:before="0" w:after="143"/>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III. PHẠM VI ÁP DỤNG</w:t>
      </w:r>
    </w:p>
    <w:p>
      <w:pPr>
        <w:pStyle w:val="Normal"/>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Áp dụng cho toàn thể người lao động làm việc tại công ty.</w:t>
      </w:r>
    </w:p>
    <w:p>
      <w:pPr>
        <w:pStyle w:val="Normal"/>
        <w:spacing w:lineRule="auto" w:line="240" w:before="120" w:after="120"/>
        <w:rPr>
          <w:rFonts w:ascii="Times New Roman" w:hAnsi="Times New Roman"/>
          <w:sz w:val="24"/>
          <w:szCs w:val="24"/>
        </w:rPr>
      </w:pPr>
      <w:r>
        <w:rPr>
          <w:rFonts w:eastAsia="Times New Roman" w:cs="Times New Roman" w:ascii="Times New Roman" w:hAnsi="Times New Roman"/>
          <w:b/>
          <w:bCs/>
          <w:sz w:val="24"/>
          <w:szCs w:val="24"/>
        </w:rPr>
        <w:t>IV. NỘI DUNG</w:t>
      </w:r>
    </w:p>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Chương 1</w:t>
      </w:r>
    </w:p>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NHỮNG QUY ĐỊNH CHUNG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1. Lương chính</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Là mức lương trả cho người lao động làm hành chính trong điều kiện bình thường theo thời gian làm việc thực tế trong tháng. Mức lương này được xác định theo quy định tại Nghị định </w:t>
      </w:r>
      <w:r>
        <w:rPr>
          <w:rFonts w:eastAsia="Times New Roman" w:cs="Times New Roman" w:ascii="Times New Roman" w:hAnsi="Times New Roman"/>
          <w:sz w:val="24"/>
          <w:szCs w:val="24"/>
        </w:rPr>
        <w:t xml:space="preserve">số </w:t>
      </w:r>
      <w:r>
        <w:rPr>
          <w:rFonts w:eastAsia="Times New Roman" w:cs="Times New Roman" w:ascii="Times New Roman" w:hAnsi="Times New Roman"/>
          <w:sz w:val="24"/>
          <w:szCs w:val="24"/>
        </w:rPr>
        <w:t>293/2025/NĐ-CP  ngày 10 tháng 11 năm 2025 quy định mức lương tối thiểu đối với người lao động làm việc theo hợp đồng lao động.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2. Lương đóng bảo hiểm xã hội</w:t>
      </w:r>
    </w:p>
    <w:p>
      <w:pPr>
        <w:pStyle w:val="Normal"/>
        <w:spacing w:lineRule="auto" w:line="240" w:before="183" w:after="183"/>
        <w:jc w:val="both"/>
        <w:rPr>
          <w:rFonts w:ascii="Times New Roman" w:hAnsi="Times New Roman"/>
          <w:sz w:val="24"/>
          <w:szCs w:val="24"/>
        </w:rPr>
      </w:pPr>
      <w:r>
        <w:rPr>
          <w:rFonts w:eastAsia="Times New Roman" w:cs="Times New Roman" w:ascii="Times New Roman" w:hAnsi="Times New Roman"/>
          <w:sz w:val="24"/>
          <w:szCs w:val="24"/>
        </w:rPr>
        <w:t xml:space="preserve">Là mức tiền lương, phụ cấp lương và các khoản bổ sung khác theo quy định </w:t>
      </w:r>
      <w:r>
        <w:rPr>
          <w:rFonts w:eastAsia="Times New Roman" w:cs="Times New Roman" w:ascii="Times New Roman" w:hAnsi="Times New Roman"/>
          <w:sz w:val="24"/>
          <w:szCs w:val="24"/>
        </w:rPr>
        <w:t xml:space="preserve">của Luật Bảo hiểm xã hội 2024 và các Thông tư, Nghị định hướng dẫn có liên quan. </w:t>
      </w:r>
      <w:r>
        <w:rPr>
          <w:rFonts w:eastAsia="Times New Roman" w:cs="Times New Roman" w:ascii="Times New Roman" w:hAnsi="Times New Roman"/>
          <w:sz w:val="24"/>
          <w:szCs w:val="24"/>
        </w:rPr>
        <w:t>Mức lương đóng BHXH không bao gồm các khoản hỗ trợ, phúc lợi như: tiền ăn giữa ca, xăng xe, điện thoại, nhà ở, hiếu hỉ, sinh nhật…</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3. Lương thử việc</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Được hưởng bằng 85% lương mức lương chính thức của công việc đó.</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4. Lương khoán</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Là mức lương dành cho cá nhân trực tiếp làm công việc có tính chất thời vụ, vụ việc, những công việc được giao trong khoảng thời gian nhất định, theo khối lượng công việc chi tiết qua hợp đồng khoán việc.</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5. Cách tính lương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Sử dụng hình thức trả lương theo thời gian làm việc thực tế trong tháng bằng ngày công chấm chuẩn làm việc tháng.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6. Lương thời gian</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Được áp dụng cho tất cả nhân viên và các lãnh đạo tham gia làm việc tại công ty.</w:t>
      </w:r>
    </w:p>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Chương 2</w:t>
      </w:r>
    </w:p>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CÁC KHOẢN TRỢ CẤP VÀ PHỤ CẤP</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Ngoài mức lương chính nhận được qua thỏa thuận và ghi rõ trong hợp đồng lao động thì người lao động còn nhận được các khoản trợ cấp và phụ cấp như sau:</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7. Phụ cấp</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1.</w:t>
      </w:r>
      <w:r>
        <w:rPr>
          <w:rFonts w:eastAsia="Times New Roman" w:cs="Times New Roman" w:ascii="Times New Roman" w:hAnsi="Times New Roman"/>
          <w:sz w:val="24"/>
          <w:szCs w:val="24"/>
        </w:rPr>
        <w:t xml:space="preserve"> Chức danh: Giám đốc, Phó Giám đốc, Trưởng phòng kinh doanh, Kế toán trưởng được hưởng phụ cấp trách nhiệm theo các mức sau:</w:t>
      </w:r>
    </w:p>
    <w:tbl>
      <w:tblPr>
        <w:tblStyle w:val="a0"/>
        <w:tblW w:w="9576" w:type="dxa"/>
        <w:jc w:val="start"/>
        <w:tblInd w:w="-115" w:type="dxa"/>
        <w:tblLayout w:type="fixed"/>
        <w:tblCellMar>
          <w:top w:w="0" w:type="dxa"/>
          <w:start w:w="108" w:type="dxa"/>
          <w:bottom w:w="0" w:type="dxa"/>
          <w:end w:w="108" w:type="dxa"/>
        </w:tblCellMar>
        <w:tblLook w:val="0400" w:firstRow="0" w:noVBand="1" w:lastRow="0" w:firstColumn="0" w:lastColumn="0" w:noHBand="0"/>
      </w:tblPr>
      <w:tblGrid>
        <w:gridCol w:w="1915"/>
        <w:gridCol w:w="1915"/>
        <w:gridCol w:w="1915"/>
        <w:gridCol w:w="1915"/>
        <w:gridCol w:w="1916"/>
      </w:tblGrid>
      <w:tr>
        <w:trPr/>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Chức danh</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Giám đốc</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Phó giám đốc</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Kế toán trưởng</w:t>
            </w:r>
          </w:p>
        </w:tc>
        <w:tc>
          <w:tcPr>
            <w:tcW w:w="1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Trưởng phòng kinh doanh</w:t>
            </w:r>
          </w:p>
        </w:tc>
      </w:tr>
      <w:tr>
        <w:trPr/>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Mức hưởng phụ cấp trách nhiệm</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đồng</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đồng</w:t>
            </w:r>
          </w:p>
        </w:tc>
        <w:tc>
          <w:tcPr>
            <w:tcW w:w="1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đồng</w:t>
            </w:r>
          </w:p>
        </w:tc>
        <w:tc>
          <w:tcPr>
            <w:tcW w:w="1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đồng</w:t>
            </w:r>
          </w:p>
        </w:tc>
      </w:tr>
    </w:tbl>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2. </w:t>
      </w:r>
      <w:r>
        <w:rPr>
          <w:rFonts w:eastAsia="Times New Roman" w:cs="Times New Roman" w:ascii="Times New Roman" w:hAnsi="Times New Roman"/>
          <w:sz w:val="24"/>
          <w:szCs w:val="24"/>
        </w:rPr>
        <w:t>Tất cả người lao động chính thức (ngoại trừ lao động thời vụ) ký hợp đồng lao động trên 03 tháng: được hưởng các loại phụ cấp sau:</w:t>
      </w:r>
    </w:p>
    <w:tbl>
      <w:tblPr>
        <w:tblStyle w:val="a1"/>
        <w:tblW w:w="9576" w:type="dxa"/>
        <w:jc w:val="start"/>
        <w:tblInd w:w="-115" w:type="dxa"/>
        <w:tblLayout w:type="fixed"/>
        <w:tblCellMar>
          <w:top w:w="0" w:type="dxa"/>
          <w:start w:w="108" w:type="dxa"/>
          <w:bottom w:w="0" w:type="dxa"/>
          <w:end w:w="108" w:type="dxa"/>
        </w:tblCellMar>
        <w:tblLook w:val="0400" w:firstRow="0" w:noVBand="1" w:lastRow="0" w:firstColumn="0" w:lastColumn="0" w:noHBand="0"/>
      </w:tblPr>
      <w:tblGrid>
        <w:gridCol w:w="2394"/>
        <w:gridCol w:w="2394"/>
        <w:gridCol w:w="2394"/>
        <w:gridCol w:w="2394"/>
      </w:tblGrid>
      <w:tr>
        <w:trPr/>
        <w:tc>
          <w:tcPr>
            <w:tcW w:w="2394"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sz w:val="24"/>
                <w:szCs w:val="24"/>
              </w:rPr>
              <w:t>Chức danh</w:t>
            </w:r>
          </w:p>
        </w:tc>
        <w:tc>
          <w:tcPr>
            <w:tcW w:w="718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sz w:val="24"/>
                <w:szCs w:val="24"/>
              </w:rPr>
              <w:t>Phụ cấp mỗi tháng</w:t>
            </w:r>
          </w:p>
        </w:tc>
      </w:tr>
      <w:tr>
        <w:trPr/>
        <w:tc>
          <w:tcPr>
            <w:tcW w:w="239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sz w:val="24"/>
                <w:szCs w:val="24"/>
              </w:rPr>
              <w:t>Ăn trưa</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sz w:val="24"/>
                <w:szCs w:val="24"/>
              </w:rPr>
              <w:t>Điện thoại</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sz w:val="24"/>
                <w:szCs w:val="24"/>
              </w:rPr>
              <w:t>Xăng xe</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Giám đốc</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Phó giám đốc</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Kế toán trưởng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Trưởng phòng kinh doanh</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Nhân viên kế toán</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Nhân viên kinh doanh</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Nhân viên bán hàng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Thủ quỹ</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r>
      <w:tr>
        <w:trPr/>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Thủ kho</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c>
          <w:tcPr>
            <w:tcW w:w="23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200"/>
              <w:jc w:val="center"/>
              <w:rPr>
                <w:rFonts w:ascii="Times New Roman" w:hAnsi="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đồng</w:t>
            </w:r>
          </w:p>
        </w:tc>
      </w:tr>
    </w:tbl>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Ghi chú:</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Mức hưởng trên tính cho 01 tháng làm việc đầy đủ theo ngày công hành chính.</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Mức hưởng cụ thể được ghi trong Hợp đồng lao động hoặc quyết định của hội đồng quản trị cho từng cá nhân.</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Đây là mức phụ cấp cao nhất mà người lao động được phân công làm việc theo các chức danh trên có thể nhận được.</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3.</w:t>
      </w:r>
      <w:r>
        <w:rPr>
          <w:rFonts w:eastAsia="Times New Roman" w:cs="Times New Roman" w:ascii="Times New Roman" w:hAnsi="Times New Roman"/>
          <w:sz w:val="24"/>
          <w:szCs w:val="24"/>
        </w:rPr>
        <w:t xml:space="preserve"> Người lao động ký hợp đồng lao động dưới 03 tháng (thời vụ, khoán, thử việc): được thỏa thuận các khoản phụ cấp cụ thể trong HĐLĐ.</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8. Trợ cấp</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Mức hưởng cụ thể của từng lao động được ghi chi tiết trong Hợp đồng lao động hoặc tại quyết định của hội đồng quản trị trong Công ty.</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Tất cả lao động chính thức (ngoại trừ lao động thời vụ) ký hợp đồng lao động từ 06 tháng trở lên được hưởng thêm khoản tiền hỗ trợ thuê nhà từ 1.000.000 đến 2.000.000 đồng mỗi tháng.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9. Các khoản phúc lợi khác</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1.</w:t>
      </w:r>
      <w:r>
        <w:rPr>
          <w:rFonts w:eastAsia="Times New Roman" w:cs="Times New Roman" w:ascii="Times New Roman" w:hAnsi="Times New Roman"/>
          <w:sz w:val="24"/>
          <w:szCs w:val="24"/>
        </w:rPr>
        <w:t xml:space="preserve"> Chế độ hiếu hỉ</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Người lao động: … đồng/người/lần.</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Vợ, chồng, bố mẹ, anh, chị, em ruột: … đồng/người/lần.</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2.</w:t>
      </w:r>
      <w:r>
        <w:rPr>
          <w:rFonts w:eastAsia="Times New Roman" w:cs="Times New Roman" w:ascii="Times New Roman" w:hAnsi="Times New Roman"/>
          <w:sz w:val="24"/>
          <w:szCs w:val="24"/>
        </w:rPr>
        <w:t xml:space="preserve"> Hàng năm: Hàng năm công ty tổ chức cho người lao động đi thăm quan, nghỉ mát, thắng cảnh, du lịch tại địa điểm của do ban lãnh đạo công ty lựa chọn.</w:t>
      </w:r>
    </w:p>
    <w:p>
      <w:pPr>
        <w:pStyle w:val="Normal"/>
        <w:spacing w:lineRule="auto" w:line="240" w:before="120" w:after="12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Chương 3</w:t>
      </w:r>
    </w:p>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TÍNH VÀ TRẢ LƯƠNG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10.</w:t>
      </w: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Cơ sở tính lương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Việc tính lương dựa trên cơ sở: Chính xác về số liệu, đảm bảo thời gian trả lương cho người lao động đúng quy định.</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Cơ sở tính lương cho người lao động: Căn cứ vào thời gian làm việc tại bảng chấm công.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Tiền lương tháng = (Tiền lương chính + Phụ cấp, trợ cấp nếu có) : 26 x</w:t>
      </w:r>
      <w:r>
        <w:rPr>
          <w:rFonts w:eastAsia="Times New Roman" w:cs="Times New Roman" w:ascii="Times New Roman" w:hAnsi="Times New Roman"/>
          <w:b/>
          <w:bCs/>
          <w:sz w:val="24"/>
          <w:szCs w:val="24"/>
        </w:rPr>
        <w:t xml:space="preserve"> </w:t>
      </w:r>
      <w:r>
        <w:rPr>
          <w:rFonts w:eastAsia="Times New Roman" w:cs="Times New Roman" w:ascii="Times New Roman" w:hAnsi="Times New Roman"/>
          <w:sz w:val="24"/>
          <w:szCs w:val="24"/>
        </w:rPr>
        <w:t>số ngày làm việc thực tế.</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11. Hạn trả lương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Toàn thể nhân viên Công ty được chi trả tiền lương vào ngày cuối cùng của tháng.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12. Tiền lương làm thêm giờ</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Căn cứ theo cách tính quy định hiện hành của Bộ luật lao động như sau:</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1.</w:t>
      </w:r>
      <w:r>
        <w:rPr>
          <w:rFonts w:eastAsia="Times New Roman" w:cs="Times New Roman" w:ascii="Times New Roman" w:hAnsi="Times New Roman"/>
          <w:sz w:val="24"/>
          <w:szCs w:val="24"/>
        </w:rPr>
        <w:t xml:space="preserve"> Làm thêm vào ngày thường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Tiền lương làm thêm giờ = Tiền lương (theo giờ) x 150% x Lượng giờ làm thêm</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2 Làm thêm vào ngày Chủ nhật</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Tiền lương làm thêm giờ = Tiền lương (theo giờ) x 200% x Lượng giờ làm thêm</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3 Làm thêm vào ngày Lễ, Tết:</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Tiền lương làm thêm giờ = Tiền lương (theo giờ) x 300% x Lượng giờ làm thêm</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13. Công tác phí</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1.</w:t>
      </w:r>
      <w:r>
        <w:rPr>
          <w:rFonts w:eastAsia="Times New Roman" w:cs="Times New Roman" w:ascii="Times New Roman" w:hAnsi="Times New Roman"/>
          <w:sz w:val="24"/>
          <w:szCs w:val="24"/>
        </w:rPr>
        <w:t xml:space="preserve"> Đi về trong ngày: … đồng/ngày</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2.</w:t>
      </w:r>
      <w:r>
        <w:rPr>
          <w:rFonts w:eastAsia="Times New Roman" w:cs="Times New Roman" w:ascii="Times New Roman" w:hAnsi="Times New Roman"/>
          <w:sz w:val="24"/>
          <w:szCs w:val="24"/>
        </w:rPr>
        <w:t xml:space="preserve"> Đi về cách ngày:</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Cán bộ đến công tác tại nơi núi cao, hải đảo, biên giới, vùng sau hưởng phụ cấp … đồng/ngày.</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Cán bộ công tác tại thành phố lớn như thành phố Hà Nội, thành phố Hồ Chí Minh, thành phố Đà Nẵng và các tỉnh đồng bằng, trung du hưởng phụ cấp … đồng/ngày.</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Ngoài tiền phụ cấp lưu trú trên, người lao động sẽ được thanh toán tất cả chi phí ăn ở, đi lại theo thực tế phát sinh (theo chứng từ xác nhận).</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14. Ngày nghỉ được hưởng nguyên lương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1. Nghỉ Lễ, Tết: Theo quy định của Bộ luật lao động.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2. Bản thân kết hôn: Nghỉ 03 ngày.</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3.</w:t>
      </w:r>
      <w:r>
        <w:rPr>
          <w:rFonts w:eastAsia="Times New Roman" w:cs="Times New Roman" w:ascii="Times New Roman" w:hAnsi="Times New Roman"/>
          <w:sz w:val="24"/>
          <w:szCs w:val="24"/>
        </w:rPr>
        <w:t xml:space="preserve"> Con kết hôn: Nghỉ 01 ngày.</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4.</w:t>
      </w:r>
      <w:r>
        <w:rPr>
          <w:rFonts w:eastAsia="Times New Roman" w:cs="Times New Roman" w:ascii="Times New Roman" w:hAnsi="Times New Roman"/>
          <w:sz w:val="24"/>
          <w:szCs w:val="24"/>
        </w:rPr>
        <w:t xml:space="preserve"> Cha mẹ chết (kể cả bên chồng, vợ) vợ hoặc chồng, con chết: Nghỉ 03 ngày.</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5.</w:t>
      </w:r>
      <w:r>
        <w:rPr>
          <w:rFonts w:eastAsia="Times New Roman" w:cs="Times New Roman" w:ascii="Times New Roman" w:hAnsi="Times New Roman"/>
          <w:sz w:val="24"/>
          <w:szCs w:val="24"/>
        </w:rPr>
        <w:t xml:space="preserve"> Nghỉ phép: Người lao động xin thôi việc có đơn xin nghỉ phép mà chưa nghỉ phép năm hoặc chưa được nghỉ hết số ngày phép năm thì sẽ được thanh toán tiền những ngày chưa nghỉ này.</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Người lao động đang trong thời gian thử việc hoặc chưa ký hợp đồng lao động thì chưa hưởng các chế độ của nhà nước quy định.</w:t>
      </w:r>
    </w:p>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Chương 4</w:t>
      </w:r>
    </w:p>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THỦ TỤC VÀ CHẾ ĐỘ XÉT TĂNG LƯƠNG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 xml:space="preserve">Điều 15. Chế độ xét tăng lương </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Mỗi năm lãnh đạo công ty sẽ họp bàn xét tăng lương cho nhân viên một lần vào tháng 04 hàng năm.</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Niên hạn và đối tượng được xét tăng lương: Những nhân viên có đủ thâm niên 02 năm hưởng một mức lương (kể từ ngày xếp lương lần liền kề với ngày xét tăng lương mới) với điều kiện là hoàn thành tốt công việc được giao, không vi phạm quy định lao động.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Trường hợp có vi phạm cho vào diện xét thì năm sau mới được xét nâng lương, và với điều kiện không tái phạm kỷ luật lao động.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 xml:space="preserve">Điều 16. Thủ tục xét nâng lương </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Ban lãnh đạo Công ty sẽ họp và công bố việc xét duyệt để xét duyệt. Những nhân viên chưa được xét tăng lương thì Giám đốc Công ty sẽ giải thích cho cán bộ công nhân viên yên tâm công tác.</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17. Mức nâng của mỗi bậc lương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Nâng lương từ 10 đến 20% mức lương hiện tại tùy theo hiệu quả kinh doanh của Công ty. </w:t>
      </w:r>
    </w:p>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Chương 5</w:t>
      </w:r>
    </w:p>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CHẾ ĐỘ THƯỞNG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17. Thưởng thâm niên</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Nhân viên làm việc tại Công ty trên 03 năm sẽ có mức thưởng được ban bố vào đợt chi trả lương tháng cuối cùng trong năm.</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Nhân viên kinh doanh đạt doanh thu do Ban giám đốc giao được thưởng phần trăm doanh thu hàng tháng, vượt doanh thu thì Giám đốc kinh doanh sẽ làm tờ trình về mức hưởng cho từng nhân viên trình Ban giám đốc duyệt và chuyển cho phòng Kế toán trả cùng với lương tháng.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18. Thưởng Tết Âm lịch</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Công ty nếu kinh doanh có lãi sẽ trích lợi nhuận để thưởng tặng quà cho nhân viên, mức thưởng tùy thuộc vào lợi nhuận của từng năm.</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19. Thưởng ngày Quốc khánh, Tết Dương lịch, Ngày Chiến thắng, Quốc tế Lao động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Tiền thưởng từ … đồng đến … đồng.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Mức thưởng cụ thể của từng nhân viên sẽ được ghi trong Quyết định của hội đồng quản trị Công ty tại thời điểm thưởng.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b/>
          <w:bCs/>
          <w:sz w:val="24"/>
          <w:szCs w:val="24"/>
        </w:rPr>
        <w:t>Điều 20. Thưởng đạt doanh thu</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Cuối mỗi năm dương lịch, phòng kinh doanh đạt doanh thu do Ban Giám đốc giao sẽ được hưởng phần trăm doanh thu tháng.</w:t>
      </w:r>
    </w:p>
    <w:p>
      <w:pPr>
        <w:pStyle w:val="Normal"/>
        <w:spacing w:lineRule="auto" w:line="240" w:before="120" w:after="120"/>
        <w:jc w:val="both"/>
        <w:rPr>
          <w:rFonts w:ascii="Times New Roman" w:hAnsi="Times New Roman"/>
          <w:sz w:val="24"/>
          <w:szCs w:val="24"/>
        </w:rPr>
      </w:pPr>
      <w:r>
        <w:rPr>
          <w:rFonts w:eastAsia="Times New Roman" w:cs="Times New Roman" w:ascii="Times New Roman" w:hAnsi="Times New Roman"/>
          <w:sz w:val="24"/>
          <w:szCs w:val="24"/>
        </w:rPr>
        <w:t>Trên đây là nội dung quy định về tiền thưởng, tiền lương, phụ cấp, trợ cấp áp dụng cho cán bộ công nhân viên tại Công ty. Giao cho trưởng phòng hành chính nhân sự và Kế toán trưởng Công ty, triển khai thực hiện.</w:t>
      </w:r>
    </w:p>
    <w:tbl>
      <w:tblPr>
        <w:tblStyle w:val="a2"/>
        <w:tblW w:w="9576" w:type="dxa"/>
        <w:jc w:val="start"/>
        <w:tblInd w:w="-115" w:type="dxa"/>
        <w:tblLayout w:type="fixed"/>
        <w:tblCellMar>
          <w:top w:w="0" w:type="dxa"/>
          <w:start w:w="108" w:type="dxa"/>
          <w:bottom w:w="0" w:type="dxa"/>
          <w:end w:w="108" w:type="dxa"/>
        </w:tblCellMar>
        <w:tblLook w:val="0400" w:firstRow="0" w:noVBand="1" w:lastRow="0" w:firstColumn="0" w:lastColumn="0" w:noHBand="0"/>
      </w:tblPr>
      <w:tblGrid>
        <w:gridCol w:w="4788"/>
        <w:gridCol w:w="4788"/>
      </w:tblGrid>
      <w:tr>
        <w:trPr/>
        <w:tc>
          <w:tcPr>
            <w:tcW w:w="4788" w:type="dxa"/>
            <w:tcBorders/>
          </w:tcPr>
          <w:p>
            <w:pPr>
              <w:pStyle w:val="Normal"/>
              <w:spacing w:lineRule="auto" w:line="240"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788" w:type="dxa"/>
            <w:tcBorders/>
          </w:tcPr>
          <w:p>
            <w:pPr>
              <w:pStyle w:val="Normal"/>
              <w:spacing w:lineRule="auto" w:line="240" w:before="120" w:after="120"/>
              <w:jc w:val="center"/>
              <w:rPr>
                <w:rFonts w:ascii="Times New Roman" w:hAnsi="Times New Roman"/>
                <w:sz w:val="24"/>
                <w:szCs w:val="24"/>
              </w:rPr>
            </w:pPr>
            <w:r>
              <w:rPr>
                <w:rFonts w:eastAsia="Times New Roman" w:cs="Times New Roman" w:ascii="Times New Roman" w:hAnsi="Times New Roman"/>
                <w:b/>
                <w:bCs/>
                <w:sz w:val="24"/>
                <w:szCs w:val="24"/>
              </w:rPr>
              <w:t>T.M HĐQT</w:t>
            </w:r>
          </w:p>
          <w:p>
            <w:pPr>
              <w:pStyle w:val="Normal"/>
              <w:spacing w:lineRule="auto" w:line="240" w:before="120" w:after="12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Chủ tịch HĐQT</w:t>
            </w:r>
          </w:p>
          <w:p>
            <w:pPr>
              <w:pStyle w:val="Normal"/>
              <w:spacing w:lineRule="auto" w:line="240" w:before="120" w:after="12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120" w:after="120"/>
              <w:jc w:val="center"/>
              <w:rPr>
                <w:rFonts w:ascii="Times New Roman" w:hAnsi="Times New Roman" w:eastAsia="Times New Roman" w:cs="Times New Roman"/>
                <w:b w:val="false"/>
                <w:bCs w:val="false"/>
                <w:i/>
                <w:iCs/>
                <w:sz w:val="24"/>
                <w:szCs w:val="24"/>
              </w:rPr>
            </w:pPr>
            <w:r>
              <w:rPr>
                <w:rFonts w:eastAsia="Times New Roman" w:cs="Times New Roman" w:ascii="Times New Roman" w:hAnsi="Times New Roman"/>
                <w:b w:val="false"/>
                <w:bCs w:val="false"/>
                <w:i/>
                <w:iCs/>
                <w:sz w:val="24"/>
                <w:szCs w:val="24"/>
              </w:rPr>
              <w:t>(ký tên và đóng dấu)</w:t>
            </w:r>
          </w:p>
          <w:p>
            <w:pPr>
              <w:pStyle w:val="Normal"/>
              <w:spacing w:lineRule="auto" w:line="240" w:before="120" w:after="12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120" w:after="120"/>
              <w:jc w:val="center"/>
              <w:rPr>
                <w:rFonts w:ascii="Times New Roman" w:hAnsi="Times New Roman" w:eastAsia="Times New Roman" w:cs="Times New Roman"/>
                <w:b/>
                <w:bCs/>
                <w:color w:val="FF0000"/>
                <w:sz w:val="24"/>
                <w:szCs w:val="24"/>
              </w:rPr>
            </w:pPr>
            <w:r>
              <w:rPr>
                <w:rFonts w:eastAsia="Times New Roman" w:cs="Times New Roman" w:ascii="Times New Roman" w:hAnsi="Times New Roman"/>
                <w:b/>
                <w:bCs/>
                <w:color w:val="FF0000"/>
                <w:sz w:val="24"/>
                <w:szCs w:val="24"/>
              </w:rPr>
            </w:r>
          </w:p>
        </w:tc>
      </w:tr>
    </w:tbl>
    <w:p>
      <w:pPr>
        <w:sectPr>
          <w:type w:val="nextPage"/>
          <w:pgSz w:w="12240" w:h="15840"/>
          <w:pgMar w:left="1440" w:right="1440" w:gutter="0" w:header="0" w:top="1440" w:footer="0" w:bottom="1440"/>
          <w:pgNumType w:start="1" w:fmt="decimal"/>
          <w:formProt w:val="false"/>
          <w:textDirection w:val="lrTb"/>
          <w:docGrid w:type="default" w:linePitch="100" w:charSpace="0"/>
        </w:sectPr>
      </w:pPr>
    </w:p>
    <w:p>
      <w:pPr>
        <w:pStyle w:val="Title"/>
        <w:keepNext w:val="false"/>
        <w:keepLines w:val="false"/>
        <w:widowControl w:val="false"/>
        <w:pBdr/>
        <w:spacing w:lineRule="auto" w:line="240" w:before="0" w:after="0"/>
        <w:rPr>
          <w:rFonts w:ascii="Times New Roman" w:hAnsi="Times New Roman"/>
          <w:sz w:val="24"/>
          <w:szCs w:val="24"/>
        </w:rPr>
      </w:pPr>
      <w:r>
        <w:rPr>
          <w:rFonts w:ascii="Times New Roman" w:hAnsi="Times New Roman"/>
          <w:sz w:val="24"/>
          <w:szCs w:val="24"/>
        </w:rPr>
      </w:r>
      <w:bookmarkStart w:id="1" w:name="_by5hlycm0x06"/>
      <w:bookmarkEnd w:id="1"/>
    </w:p>
    <w:sectPr>
      <w:type w:val="nextPage"/>
      <w:pgSz w:w="12240" w:h="15840"/>
      <w:pgMar w:left="1440" w:right="1440" w:gutter="0" w:header="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0"/>
      <w:jc w:val="start"/>
    </w:pPr>
    <w:rPr>
      <w:rFonts w:ascii="Arial" w:hAnsi="Arial" w:eastAsia="Arial" w:cs="Arial"/>
      <w:color w:val="auto"/>
      <w:kern w:val="0"/>
      <w:sz w:val="22"/>
      <w:szCs w:val="22"/>
      <w:lang w:val="en-US" w:eastAsia="en-US"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iCs/>
      <w:color w:val="666666"/>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LibreOffice/26.2.5.2$Windows_X86_64 LibreOffice_project/cd7284b4cbbfeb507e630c1aac019f4157393acb</Application>
  <AppVersion>15.0000</AppVersion>
  <Pages>7</Pages>
  <Words>1880</Words>
  <Characters>6926</Characters>
  <CharactersWithSpaces>8669</CharactersWithSpaces>
  <Paragraphs>161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2026-02-11T06:56:00Z</dcterms:created>
  <dc:creator/>
  <dc:description/>
  <dc:language>en-US</dc:language>
  <cp:lastModifiedBy/>
  <dcterms:modified xsi:type="dcterms:W3CDTF">2026-09-09T08:18:56Z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