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false"/>
        <w:keepLines w:val="false"/>
        <w:widowControl w:val="false"/>
        <w:pBdr/>
        <w:spacing w:lineRule="auto" w:line="240" w:before="0" w:after="0"/>
        <w:rPr>
          <w:rFonts w:ascii="Times New Roman" w:hAnsi="Times New Roman"/>
          <w:sz w:val="26"/>
          <w:szCs w:val="26"/>
        </w:rPr>
      </w:pPr>
      <w:r>
        <w:rPr>
          <w:rFonts w:ascii="Times New Roman" w:hAnsi="Times New Roman"/>
          <w:sz w:val="26"/>
          <w:szCs w:val="26"/>
        </w:rPr>
      </w:r>
    </w:p>
    <w:tbl>
      <w:tblPr>
        <w:tblW w:w="935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88"/>
        <w:gridCol w:w="5468"/>
      </w:tblGrid>
      <w:tr>
        <w:trPr>
          <w:trHeight w:val="350" w:hRule="atLeast"/>
        </w:trPr>
        <w:tc>
          <w:tcPr>
            <w:tcW w:w="3888" w:type="dxa"/>
            <w:tcBorders/>
            <w:shd w:color="auto" w:fill="auto" w:val="clear"/>
          </w:tcPr>
          <w:p>
            <w:pPr>
              <w:pStyle w:val="Normal"/>
              <w:spacing w:lineRule="auto" w:line="240" w:before="0" w:after="120"/>
              <w:jc w:val="center"/>
              <w:rPr/>
            </w:pPr>
            <w:r>
              <w:rPr>
                <w:rFonts w:ascii="Times New Roman" w:hAnsi="Times New Roman"/>
                <w:b/>
                <w:sz w:val="24"/>
                <w:szCs w:val="24"/>
              </w:rPr>
              <w:t xml:space="preserve">CÔNG TY </w:t>
            </w:r>
            <w:r>
              <w:rPr>
                <w:rFonts w:ascii="Times New Roman" w:hAnsi="Times New Roman"/>
                <w:b/>
                <w:sz w:val="24"/>
                <w:szCs w:val="24"/>
              </w:rPr>
              <w:t>TNHH</w:t>
            </w:r>
            <w:r>
              <w:rPr>
                <w:rFonts w:ascii="Times New Roman" w:hAnsi="Times New Roman"/>
                <w:b/>
                <w:sz w:val="24"/>
                <w:szCs w:val="24"/>
              </w:rPr>
              <w:t>……</w:t>
            </w:r>
          </w:p>
          <w:p>
            <w:pPr>
              <w:pStyle w:val="Normal"/>
              <w:spacing w:lineRule="auto" w:line="240" w:before="0" w:after="120"/>
              <w:jc w:val="center"/>
              <w:rPr/>
            </w:pPr>
            <w:r>
              <w:rPr/>
              <w:t>----oOo----</w:t>
            </w:r>
          </w:p>
        </w:tc>
        <w:tc>
          <w:tcPr>
            <w:tcW w:w="5468" w:type="dxa"/>
            <w:tcBorders/>
            <w:shd w:color="auto" w:fill="auto" w:val="clear"/>
          </w:tcPr>
          <w:p>
            <w:pPr>
              <w:pStyle w:val="Normal"/>
              <w:spacing w:lineRule="auto" w:line="240" w:before="0" w:after="120"/>
              <w:jc w:val="center"/>
              <w:rPr>
                <w:rFonts w:ascii="Times New Roman" w:hAnsi="Times New Roman"/>
                <w:b/>
                <w:sz w:val="24"/>
                <w:szCs w:val="24"/>
              </w:rPr>
            </w:pPr>
            <w:r>
              <w:rPr>
                <w:rFonts w:ascii="Times New Roman" w:hAnsi="Times New Roman"/>
                <w:b/>
                <w:sz w:val="24"/>
                <w:szCs w:val="24"/>
              </w:rPr>
              <w:t>CỘNG HÒA XÃ HỘI CHỦ NGHĨA VIỆT NAM</w:t>
            </w:r>
          </w:p>
          <w:p>
            <w:pPr>
              <w:pStyle w:val="Normal"/>
              <w:spacing w:lineRule="auto" w:line="240" w:before="0" w:after="120"/>
              <w:jc w:val="center"/>
              <w:rPr>
                <w:rFonts w:ascii="Times New Roman" w:hAnsi="Times New Roman"/>
                <w:b/>
                <w:sz w:val="24"/>
                <w:szCs w:val="24"/>
              </w:rPr>
            </w:pPr>
            <w:r>
              <w:rPr>
                <w:rFonts w:ascii="Times New Roman" w:hAnsi="Times New Roman"/>
                <w:b/>
                <w:sz w:val="24"/>
                <w:szCs w:val="24"/>
              </w:rPr>
              <w:t>Độc Lập - Tự Do - Hạnh Phúc</w:t>
            </w:r>
          </w:p>
        </w:tc>
      </w:tr>
      <w:tr>
        <w:trPr/>
        <w:tc>
          <w:tcPr>
            <w:tcW w:w="3888" w:type="dxa"/>
            <w:tcBorders/>
            <w:shd w:color="auto" w:fill="auto" w:val="clear"/>
          </w:tcPr>
          <w:p>
            <w:pPr>
              <w:pStyle w:val="Normal"/>
              <w:spacing w:lineRule="auto" w:line="240" w:before="0" w:after="120"/>
              <w:jc w:val="center"/>
              <w:rPr/>
            </w:pPr>
            <w:r>
              <w:rPr>
                <w:rFonts w:ascii="Times New Roman" w:hAnsi="Times New Roman"/>
                <w:sz w:val="24"/>
                <w:szCs w:val="24"/>
              </w:rPr>
              <w:t>Số: …/QC-…</w:t>
            </w:r>
          </w:p>
        </w:tc>
        <w:tc>
          <w:tcPr>
            <w:tcW w:w="5468" w:type="dxa"/>
            <w:tcBorders/>
            <w:shd w:color="auto" w:fill="auto" w:val="clear"/>
          </w:tcPr>
          <w:p>
            <w:pPr>
              <w:pStyle w:val="Normal"/>
              <w:spacing w:lineRule="auto" w:line="240" w:before="0" w:after="120"/>
              <w:jc w:val="end"/>
              <w:rPr/>
            </w:pPr>
            <w:r>
              <w:rPr>
                <w:rFonts w:ascii="Times New Roman" w:hAnsi="Times New Roman"/>
                <w:i/>
                <w:sz w:val="24"/>
                <w:szCs w:val="24"/>
              </w:rPr>
              <w:t>…</w:t>
            </w:r>
            <w:r>
              <w:rPr>
                <w:rFonts w:ascii="Times New Roman" w:hAnsi="Times New Roman"/>
                <w:i/>
                <w:sz w:val="24"/>
                <w:szCs w:val="24"/>
              </w:rPr>
              <w:t>, ngày … tháng … năm 20…</w:t>
            </w:r>
          </w:p>
        </w:tc>
      </w:tr>
    </w:tbl>
    <w:p>
      <w:pPr>
        <w:pStyle w:val="Normal"/>
        <w:spacing w:lineRule="auto" w:line="240" w:before="0" w:after="200"/>
        <w:jc w:val="center"/>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spacing w:lineRule="auto" w:line="240" w:before="0" w:after="143"/>
        <w:jc w:val="center"/>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QUY CHẾ </w:t>
      </w:r>
    </w:p>
    <w:p>
      <w:pPr>
        <w:pStyle w:val="Normal"/>
        <w:spacing w:lineRule="auto" w:line="240" w:before="0" w:after="143"/>
        <w:jc w:val="center"/>
        <w:rPr>
          <w:rFonts w:ascii="Times New Roman" w:hAnsi="Times New Roman"/>
          <w:sz w:val="26"/>
          <w:szCs w:val="26"/>
        </w:rPr>
      </w:pPr>
      <w:r>
        <w:rPr>
          <w:rFonts w:eastAsia="Times New Roman" w:cs="Times New Roman" w:ascii="Times New Roman" w:hAnsi="Times New Roman"/>
          <w:b/>
          <w:bCs/>
          <w:sz w:val="26"/>
          <w:szCs w:val="26"/>
        </w:rPr>
        <w:t>TIỀN LƯƠNG, TIỀN THƯỞNG CHO NGƯỜI LAO ĐỘNG</w:t>
      </w:r>
    </w:p>
    <w:p>
      <w:pPr>
        <w:pStyle w:val="Normal"/>
        <w:spacing w:lineRule="auto" w:line="240" w:before="0" w:after="120"/>
        <w:jc w:val="both"/>
        <w:rPr>
          <w:rFonts w:ascii="Times New Roman" w:hAnsi="Times New Roman"/>
          <w:b/>
          <w:sz w:val="24"/>
          <w:szCs w:val="24"/>
        </w:rPr>
      </w:pPr>
      <w:r>
        <w:rPr>
          <w:rFonts w:ascii="Times New Roman" w:hAnsi="Times New Roman"/>
          <w:b/>
          <w:sz w:val="24"/>
          <w:szCs w:val="24"/>
        </w:rPr>
      </w:r>
    </w:p>
    <w:p>
      <w:pPr>
        <w:pStyle w:val="Normal"/>
        <w:spacing w:lineRule="auto" w:line="240" w:before="63" w:after="63"/>
        <w:jc w:val="center"/>
        <w:rPr>
          <w:rFonts w:ascii="Times New Roman" w:hAnsi="Times New Roman"/>
          <w:b/>
          <w:bCs/>
          <w:sz w:val="26"/>
          <w:szCs w:val="26"/>
        </w:rPr>
      </w:pPr>
      <w:r>
        <w:rPr>
          <w:rFonts w:eastAsia="Times New Roman" w:cs="Times New Roman" w:ascii="Times New Roman" w:hAnsi="Times New Roman"/>
          <w:b/>
          <w:bCs/>
          <w:sz w:val="26"/>
          <w:szCs w:val="26"/>
        </w:rPr>
        <w:t>Chương 1</w:t>
      </w:r>
    </w:p>
    <w:p>
      <w:pPr>
        <w:pStyle w:val="Normal"/>
        <w:spacing w:lineRule="auto" w:line="240" w:before="63" w:after="63"/>
        <w:jc w:val="center"/>
        <w:rPr>
          <w:rFonts w:ascii="Times New Roman" w:hAnsi="Times New Roman"/>
          <w:b/>
          <w:bCs/>
          <w:sz w:val="26"/>
          <w:szCs w:val="26"/>
        </w:rPr>
      </w:pPr>
      <w:r>
        <w:rPr>
          <w:rFonts w:eastAsia="Times New Roman" w:cs="Times New Roman" w:ascii="Times New Roman" w:hAnsi="Times New Roman"/>
          <w:b/>
          <w:bCs/>
          <w:sz w:val="26"/>
          <w:szCs w:val="26"/>
        </w:rPr>
        <w:t>NHỮNG QUY ĐỊNH CHUNG</w:t>
      </w:r>
    </w:p>
    <w:p>
      <w:pPr>
        <w:pStyle w:val="Normal"/>
        <w:spacing w:lineRule="auto" w:line="240" w:before="0" w:after="120"/>
        <w:jc w:val="both"/>
        <w:rPr>
          <w:rFonts w:ascii="Times New Roman" w:hAnsi="Times New Roman"/>
          <w:b/>
          <w:sz w:val="24"/>
          <w:szCs w:val="24"/>
        </w:rPr>
      </w:pPr>
      <w:r>
        <w:rPr>
          <w:rFonts w:ascii="Times New Roman" w:hAnsi="Times New Roman"/>
          <w:b/>
          <w:sz w:val="24"/>
          <w:szCs w:val="24"/>
        </w:rPr>
        <w:t>Điều 1. Đối tượng áp dụng</w:t>
      </w:r>
    </w:p>
    <w:p>
      <w:pPr>
        <w:pStyle w:val="Normal"/>
        <w:spacing w:lineRule="auto" w:line="240" w:before="0" w:after="120"/>
        <w:jc w:val="both"/>
        <w:rPr/>
      </w:pPr>
      <w:r>
        <w:rPr>
          <w:rFonts w:ascii="Times New Roman" w:hAnsi="Times New Roman"/>
          <w:sz w:val="24"/>
          <w:szCs w:val="24"/>
        </w:rPr>
        <w:t>Toàn bộ cán bộ, công nhân viên, người lao động làm việc theo hợp đồng lao động tại công ty….</w:t>
      </w:r>
    </w:p>
    <w:p>
      <w:pPr>
        <w:pStyle w:val="Normal"/>
        <w:spacing w:lineRule="auto" w:line="240" w:before="0" w:after="120"/>
        <w:jc w:val="both"/>
        <w:rPr/>
      </w:pPr>
      <w:r>
        <w:rPr>
          <w:rFonts w:ascii="Times New Roman" w:hAnsi="Times New Roman"/>
          <w:b/>
          <w:sz w:val="24"/>
          <w:szCs w:val="24"/>
          <w:lang w:val="vi-VN"/>
        </w:rPr>
        <w:t xml:space="preserve">Điều </w:t>
      </w:r>
      <w:r>
        <w:rPr>
          <w:rFonts w:ascii="Times New Roman" w:hAnsi="Times New Roman"/>
          <w:b/>
          <w:sz w:val="24"/>
          <w:szCs w:val="24"/>
        </w:rPr>
        <w:t>2</w:t>
      </w:r>
      <w:r>
        <w:rPr>
          <w:rFonts w:ascii="Times New Roman" w:hAnsi="Times New Roman"/>
          <w:b/>
          <w:sz w:val="24"/>
          <w:szCs w:val="24"/>
          <w:lang w:val="vi-VN"/>
        </w:rPr>
        <w:t>. Mục đích</w:t>
      </w:r>
    </w:p>
    <w:p>
      <w:pPr>
        <w:pStyle w:val="Normal"/>
        <w:spacing w:lineRule="auto" w:line="240" w:before="0" w:after="120"/>
        <w:jc w:val="both"/>
        <w:rPr/>
      </w:pPr>
      <w:r>
        <w:rPr>
          <w:rFonts w:ascii="Times New Roman" w:hAnsi="Times New Roman"/>
          <w:sz w:val="24"/>
          <w:szCs w:val="24"/>
          <w:lang w:val="vi-VN"/>
        </w:rPr>
        <w:t>-</w:t>
      </w:r>
      <w:r>
        <w:rPr>
          <w:rFonts w:ascii="Times New Roman" w:hAnsi="Times New Roman"/>
          <w:sz w:val="24"/>
          <w:szCs w:val="24"/>
        </w:rPr>
        <w:t xml:space="preserve"> Quy định v</w:t>
      </w:r>
      <w:r>
        <w:rPr>
          <w:rFonts w:ascii="Times New Roman" w:hAnsi="Times New Roman"/>
          <w:sz w:val="24"/>
          <w:szCs w:val="24"/>
          <w:lang w:val="vi-VN"/>
        </w:rPr>
        <w:t>iệc trả lương, trả thưởng</w:t>
      </w:r>
      <w:r>
        <w:rPr>
          <w:rFonts w:ascii="Times New Roman" w:hAnsi="Times New Roman"/>
          <w:sz w:val="24"/>
          <w:szCs w:val="24"/>
        </w:rPr>
        <w:t>, phụ cấp</w:t>
      </w:r>
      <w:r>
        <w:rPr>
          <w:rFonts w:ascii="Times New Roman" w:hAnsi="Times New Roman"/>
          <w:sz w:val="24"/>
          <w:szCs w:val="24"/>
          <w:lang w:val="vi-VN"/>
        </w:rPr>
        <w:t xml:space="preserve"> cho từng cá nhân, từng bộ phận, nhằm khuyến khích người lao động làm việc, hoàn thành tốt công việc theo chức danh và đóng góp quan trọng vào việc hoàn thành kế hoạch sản xuất kinh doanh của Công ty. </w:t>
      </w:r>
    </w:p>
    <w:p>
      <w:pPr>
        <w:pStyle w:val="Normal"/>
        <w:spacing w:lineRule="auto" w:line="240" w:before="0" w:after="120"/>
        <w:jc w:val="both"/>
        <w:rPr/>
      </w:pPr>
      <w:r>
        <w:rPr>
          <w:rFonts w:ascii="Times New Roman" w:hAnsi="Times New Roman"/>
          <w:sz w:val="24"/>
          <w:szCs w:val="24"/>
        </w:rPr>
        <w:t xml:space="preserve">- </w:t>
      </w:r>
      <w:r>
        <w:rPr>
          <w:rFonts w:ascii="Times New Roman" w:hAnsi="Times New Roman"/>
          <w:sz w:val="24"/>
          <w:szCs w:val="24"/>
          <w:lang w:val="vi-VN"/>
        </w:rPr>
        <w:t xml:space="preserve">Đảm bảo đời sống cho </w:t>
      </w:r>
      <w:r>
        <w:rPr>
          <w:rFonts w:ascii="Times New Roman" w:hAnsi="Times New Roman"/>
          <w:sz w:val="24"/>
          <w:szCs w:val="24"/>
        </w:rPr>
        <w:t>cán bộ, công nhân viên</w:t>
      </w:r>
      <w:r>
        <w:rPr>
          <w:rFonts w:ascii="Times New Roman" w:hAnsi="Times New Roman"/>
          <w:sz w:val="24"/>
          <w:szCs w:val="24"/>
          <w:lang w:val="vi-VN"/>
        </w:rPr>
        <w:t xml:space="preserve"> </w:t>
      </w:r>
      <w:r>
        <w:rPr>
          <w:rFonts w:ascii="Times New Roman" w:hAnsi="Times New Roman"/>
          <w:sz w:val="24"/>
          <w:szCs w:val="24"/>
        </w:rPr>
        <w:t xml:space="preserve">trong </w:t>
      </w:r>
      <w:r>
        <w:rPr>
          <w:rFonts w:ascii="Times New Roman" w:hAnsi="Times New Roman"/>
          <w:sz w:val="24"/>
          <w:szCs w:val="24"/>
          <w:lang w:val="vi-VN"/>
        </w:rPr>
        <w:t xml:space="preserve">Công ty yên tâm công tác, đáp ứng được mức sống cơ bản của </w:t>
      </w:r>
      <w:r>
        <w:rPr>
          <w:rFonts w:ascii="Times New Roman" w:hAnsi="Times New Roman"/>
          <w:sz w:val="24"/>
          <w:szCs w:val="24"/>
        </w:rPr>
        <w:t>cán bộ, công nhân viên</w:t>
      </w:r>
      <w:r>
        <w:rPr>
          <w:rFonts w:ascii="Times New Roman" w:hAnsi="Times New Roman"/>
          <w:sz w:val="24"/>
          <w:szCs w:val="24"/>
          <w:lang w:val="vi-VN"/>
        </w:rPr>
        <w:t xml:space="preserve">. </w:t>
      </w:r>
    </w:p>
    <w:p>
      <w:pPr>
        <w:pStyle w:val="Normal"/>
        <w:spacing w:lineRule="auto" w:line="240" w:before="0" w:after="120"/>
        <w:jc w:val="both"/>
        <w:rPr/>
      </w:pPr>
      <w:r>
        <w:rPr>
          <w:rFonts w:ascii="Times New Roman" w:hAnsi="Times New Roman"/>
          <w:sz w:val="24"/>
          <w:szCs w:val="24"/>
        </w:rPr>
        <w:t xml:space="preserve">- </w:t>
      </w:r>
      <w:r>
        <w:rPr>
          <w:rFonts w:ascii="Times New Roman" w:hAnsi="Times New Roman"/>
          <w:sz w:val="24"/>
          <w:szCs w:val="24"/>
          <w:lang w:val="vi-VN"/>
        </w:rPr>
        <w:t xml:space="preserve">Thực hiện theo đúng quy định của pháp luật lao động về lương thưởng và các chế độ cho người lao động. </w:t>
      </w:r>
    </w:p>
    <w:p>
      <w:pPr>
        <w:pStyle w:val="Normal"/>
        <w:spacing w:lineRule="auto" w:line="240" w:before="0" w:after="120"/>
        <w:jc w:val="both"/>
        <w:rPr/>
      </w:pPr>
      <w:r>
        <w:rPr>
          <w:rFonts w:eastAsia="Times New Roman" w:cs="Times New Roman" w:ascii="Times New Roman" w:hAnsi="Times New Roman"/>
          <w:b/>
          <w:bCs/>
          <w:sz w:val="24"/>
          <w:szCs w:val="24"/>
          <w:lang w:val="vi-VN"/>
        </w:rPr>
        <w:t xml:space="preserve">Điều 3. Căn cứ </w:t>
      </w:r>
      <w:r>
        <w:rPr>
          <w:rFonts w:eastAsia="Times New Roman" w:cs="Times New Roman" w:ascii="Times New Roman" w:hAnsi="Times New Roman"/>
          <w:b/>
          <w:bCs/>
          <w:sz w:val="24"/>
          <w:szCs w:val="24"/>
        </w:rPr>
        <w:t>pháp lý</w:t>
      </w:r>
    </w:p>
    <w:p>
      <w:pPr>
        <w:pStyle w:val="Normal"/>
        <w:spacing w:lineRule="auto" w:line="240" w:before="0" w:after="143"/>
        <w:jc w:val="both"/>
        <w:rPr/>
      </w:pPr>
      <w:r>
        <w:rPr>
          <w:rFonts w:eastAsia="Times New Roman" w:cs="Times New Roman" w:ascii="Times New Roman" w:hAnsi="Times New Roman"/>
          <w:sz w:val="24"/>
          <w:szCs w:val="24"/>
        </w:rPr>
        <w:t>Căn cứ Bộ luật Lao động số 45/2019/QH14 ngày 20/11/2019.</w:t>
      </w:r>
    </w:p>
    <w:p>
      <w:pPr>
        <w:pStyle w:val="Normal"/>
        <w:spacing w:lineRule="auto" w:line="240" w:before="0" w:after="143"/>
        <w:jc w:val="both"/>
        <w:rPr/>
      </w:pPr>
      <w:r>
        <w:rPr>
          <w:rFonts w:eastAsia="Times New Roman" w:cs="Times New Roman" w:ascii="Times New Roman" w:hAnsi="Times New Roman"/>
          <w:sz w:val="24"/>
          <w:szCs w:val="24"/>
        </w:rPr>
        <w:t>Căn cứ Nghị định số 145/2020/NĐ-CP ngày 14/12/2020 của Chính phủ quy định chi tiết và hướng dẫn thi hành một số điều của Bộ luật Lao động.</w:t>
      </w:r>
    </w:p>
    <w:p>
      <w:pPr>
        <w:pStyle w:val="Normal"/>
        <w:spacing w:lineRule="auto" w:line="240" w:before="0" w:after="143"/>
        <w:jc w:val="both"/>
        <w:rPr/>
      </w:pPr>
      <w:r>
        <w:rPr>
          <w:rFonts w:eastAsia="Times New Roman" w:cs="Times New Roman" w:ascii="Times New Roman" w:hAnsi="Times New Roman"/>
          <w:sz w:val="24"/>
          <w:szCs w:val="24"/>
        </w:rPr>
        <w:t>Căn cứ Nghị định số 293/2025/NĐ-CP  ngày 10 tháng 11 năm 2025 quy định mức lương tối thiểu đối với người lao động làm việc theo hợp đồng lao động.</w:t>
      </w:r>
    </w:p>
    <w:p>
      <w:pPr>
        <w:pStyle w:val="Normal"/>
        <w:spacing w:lineRule="auto" w:line="240" w:before="0" w:after="143"/>
        <w:jc w:val="both"/>
        <w:rPr/>
      </w:pPr>
      <w:r>
        <w:rPr>
          <w:rFonts w:eastAsia="Times New Roman" w:cs="Times New Roman" w:ascii="Times New Roman" w:hAnsi="Times New Roman"/>
          <w:sz w:val="24"/>
          <w:szCs w:val="24"/>
        </w:rPr>
        <w:t>Căn cứ Luật Doanh nghiệp số 59/2020/QH14 ngày 17/06/2020.</w:t>
      </w:r>
    </w:p>
    <w:p>
      <w:pPr>
        <w:pStyle w:val="Normal"/>
        <w:spacing w:lineRule="auto" w:line="240" w:before="0" w:after="143"/>
        <w:jc w:val="both"/>
        <w:rPr/>
      </w:pPr>
      <w:r>
        <w:rPr>
          <w:rFonts w:eastAsia="Times New Roman" w:cs="Times New Roman" w:ascii="Times New Roman" w:hAnsi="Times New Roman"/>
          <w:sz w:val="24"/>
          <w:szCs w:val="24"/>
        </w:rPr>
        <w:t xml:space="preserve">Căn cứ Điều lệ tổ chức và hoạt động của Công ty </w:t>
      </w:r>
      <w:r>
        <w:rPr>
          <w:rFonts w:eastAsia="Times New Roman" w:cs="Times New Roman" w:ascii="Times New Roman" w:hAnsi="Times New Roman"/>
          <w:sz w:val="24"/>
          <w:szCs w:val="24"/>
        </w:rPr>
        <w:t xml:space="preserve">TNHH </w:t>
      </w:r>
      <w:r>
        <w:rPr>
          <w:rFonts w:eastAsia="Times New Roman" w:cs="Times New Roman" w:ascii="Times New Roman" w:hAnsi="Times New Roman"/>
          <w:sz w:val="24"/>
          <w:szCs w:val="24"/>
        </w:rPr>
        <w:t>…</w:t>
      </w:r>
    </w:p>
    <w:p>
      <w:pPr>
        <w:pStyle w:val="Normal"/>
        <w:spacing w:lineRule="auto" w:line="240" w:before="0" w:after="143"/>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Căn cứ biên bản họp hội đồng thành viên ngày …/…/….. về việc thông qua quy chế trả lương, thưởng của công ty từ năm….</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4</w:t>
      </w:r>
      <w:r>
        <w:rPr>
          <w:rFonts w:eastAsia="Times New Roman" w:cs="Times New Roman" w:ascii="Times New Roman" w:hAnsi="Times New Roman"/>
          <w:b/>
          <w:bCs/>
          <w:sz w:val="26"/>
          <w:szCs w:val="26"/>
        </w:rPr>
        <w:t>. Lương chính</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Là mức lương trả cho người lao động làm hành chính trong điều kiện bình thường theo thời gian làm việc thực tế trong tháng. Mức lương này được xác định theo quy định tại Nghị định số 293/2025/NĐ-CP  ngày 10 tháng 11 năm 2025 quy định mức lương tối thiểu đối với người lao động làm việc theo hợp đồng lao động.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 xml:space="preserve">Điều </w:t>
      </w:r>
      <w:r>
        <w:rPr>
          <w:rFonts w:eastAsia="Times New Roman" w:cs="Times New Roman" w:ascii="Times New Roman" w:hAnsi="Times New Roman"/>
          <w:b/>
          <w:bCs/>
          <w:sz w:val="24"/>
          <w:szCs w:val="24"/>
        </w:rPr>
        <w:t>5</w:t>
      </w:r>
      <w:r>
        <w:rPr>
          <w:rFonts w:eastAsia="Times New Roman" w:cs="Times New Roman" w:ascii="Times New Roman" w:hAnsi="Times New Roman"/>
          <w:b/>
          <w:bCs/>
          <w:sz w:val="24"/>
          <w:szCs w:val="24"/>
        </w:rPr>
        <w:t>. Lương đóng bảo hiểm xã hội</w:t>
      </w:r>
    </w:p>
    <w:p>
      <w:pPr>
        <w:pStyle w:val="Normal"/>
        <w:spacing w:lineRule="auto" w:line="240" w:before="183" w:after="183"/>
        <w:jc w:val="both"/>
        <w:rPr>
          <w:rFonts w:ascii="Times New Roman" w:hAnsi="Times New Roman"/>
          <w:sz w:val="24"/>
          <w:szCs w:val="24"/>
        </w:rPr>
      </w:pPr>
      <w:r>
        <w:rPr>
          <w:rFonts w:eastAsia="Times New Roman" w:cs="Times New Roman" w:ascii="Times New Roman" w:hAnsi="Times New Roman"/>
          <w:sz w:val="24"/>
          <w:szCs w:val="24"/>
        </w:rPr>
        <w:t>Là mức tiền lương, phụ cấp lương và các khoản bổ sung khác theo quy định của Luật Bảo hiểm xã hội 2024 và các Thông tư, Nghị định hướng dẫn có liên quan. Mức lương đóng BHXH không bao gồm các khoản hỗ trợ, phúc lợi như: tiền ăn giữa ca, xăng xe, điện thoại, nhà ở, hiếu hỉ, sinh nhật…</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 xml:space="preserve">Điều </w:t>
      </w:r>
      <w:r>
        <w:rPr>
          <w:rFonts w:eastAsia="Times New Roman" w:cs="Times New Roman" w:ascii="Times New Roman" w:hAnsi="Times New Roman"/>
          <w:b/>
          <w:bCs/>
          <w:sz w:val="24"/>
          <w:szCs w:val="24"/>
        </w:rPr>
        <w:t>6</w:t>
      </w:r>
      <w:r>
        <w:rPr>
          <w:rFonts w:eastAsia="Times New Roman" w:cs="Times New Roman" w:ascii="Times New Roman" w:hAnsi="Times New Roman"/>
          <w:b/>
          <w:bCs/>
          <w:sz w:val="24"/>
          <w:szCs w:val="24"/>
        </w:rPr>
        <w:t>. Lương thử việc</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Được hưởng bằng 85% lương mức lương chính thức của công việc đó.</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 xml:space="preserve">Điều </w:t>
      </w:r>
      <w:r>
        <w:rPr>
          <w:rFonts w:eastAsia="Times New Roman" w:cs="Times New Roman" w:ascii="Times New Roman" w:hAnsi="Times New Roman"/>
          <w:b/>
          <w:bCs/>
          <w:sz w:val="24"/>
          <w:szCs w:val="24"/>
        </w:rPr>
        <w:t>7</w:t>
      </w:r>
      <w:r>
        <w:rPr>
          <w:rFonts w:eastAsia="Times New Roman" w:cs="Times New Roman" w:ascii="Times New Roman" w:hAnsi="Times New Roman"/>
          <w:b/>
          <w:bCs/>
          <w:sz w:val="24"/>
          <w:szCs w:val="24"/>
        </w:rPr>
        <w:t>. Lương khoán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Là mức lương dành cho cá nhân trực tiếp làm công việc có tính chất thời vụ, vụ việc, những công việc được giao trong khoảng thời gian nhất định, theo khối lượng công việc chi tiết qua hợp đồng khoán việc.</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 xml:space="preserve">Điều </w:t>
      </w:r>
      <w:r>
        <w:rPr>
          <w:rFonts w:eastAsia="Times New Roman" w:cs="Times New Roman" w:ascii="Times New Roman" w:hAnsi="Times New Roman"/>
          <w:b/>
          <w:bCs/>
          <w:sz w:val="24"/>
          <w:szCs w:val="24"/>
        </w:rPr>
        <w:t>8</w:t>
      </w:r>
      <w:r>
        <w:rPr>
          <w:rFonts w:eastAsia="Times New Roman" w:cs="Times New Roman" w:ascii="Times New Roman" w:hAnsi="Times New Roman"/>
          <w:b/>
          <w:bCs/>
          <w:sz w:val="24"/>
          <w:szCs w:val="24"/>
        </w:rPr>
        <w:t>. Cách tính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Sử dụng hình thức trả lương theo thời gian làm việc thực tế trong tháng bằng ngày công chấm chuẩn làm việc tháng.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 xml:space="preserve">Điều </w:t>
      </w:r>
      <w:r>
        <w:rPr>
          <w:rFonts w:eastAsia="Times New Roman" w:cs="Times New Roman" w:ascii="Times New Roman" w:hAnsi="Times New Roman"/>
          <w:b/>
          <w:bCs/>
          <w:sz w:val="24"/>
          <w:szCs w:val="24"/>
        </w:rPr>
        <w:t>9</w:t>
      </w:r>
      <w:r>
        <w:rPr>
          <w:rFonts w:eastAsia="Times New Roman" w:cs="Times New Roman" w:ascii="Times New Roman" w:hAnsi="Times New Roman"/>
          <w:b/>
          <w:bCs/>
          <w:sz w:val="24"/>
          <w:szCs w:val="24"/>
        </w:rPr>
        <w:t>. Lương thời gian</w:t>
      </w:r>
    </w:p>
    <w:p>
      <w:pPr>
        <w:pStyle w:val="Normal"/>
        <w:spacing w:lineRule="auto" w:line="240" w:before="120" w:after="120"/>
        <w:jc w:val="both"/>
        <w:rPr>
          <w:b w:val="false"/>
          <w:bCs w:val="false"/>
        </w:rPr>
      </w:pPr>
      <w:r>
        <w:rPr>
          <w:rFonts w:eastAsia="Times New Roman" w:cs="Times New Roman" w:ascii="Times New Roman" w:hAnsi="Times New Roman"/>
          <w:b w:val="false"/>
          <w:bCs w:val="false"/>
          <w:sz w:val="24"/>
          <w:szCs w:val="24"/>
        </w:rPr>
        <w:t>Được áp dụng cho tất cả nhân viên và các lãnh đạo tham gia làm việc tại công ty.</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Chương 2</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CÁC KHOẢN TRỢ CẤP VÀ PHỤ CẤP</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Ngoài mức lương chính nhận được qua thỏa thuận và ghi rõ trong hợp đồng lao động thì người lao động còn nhận được các khoản trợ cấp và phụ cấp như sau:</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10</w:t>
      </w:r>
      <w:r>
        <w:rPr>
          <w:rFonts w:eastAsia="Times New Roman" w:cs="Times New Roman" w:ascii="Times New Roman" w:hAnsi="Times New Roman"/>
          <w:b/>
          <w:bCs/>
          <w:sz w:val="26"/>
          <w:szCs w:val="26"/>
        </w:rPr>
        <w:t>. Phụ cấp</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1.</w:t>
      </w:r>
      <w:r>
        <w:rPr>
          <w:rFonts w:eastAsia="Times New Roman" w:cs="Times New Roman" w:ascii="Times New Roman" w:hAnsi="Times New Roman"/>
          <w:sz w:val="26"/>
          <w:szCs w:val="26"/>
        </w:rPr>
        <w:t xml:space="preserve"> Chức danh: Giám đốc, Phó Giám đốc, Trưởng phòng kinh doanh, Kế toán trưởng được hưởng phụ cấp trách nhiệm theo các mức sau:</w:t>
      </w:r>
    </w:p>
    <w:tbl>
      <w:tblPr>
        <w:tblStyle w:val="a0"/>
        <w:tblW w:w="9576"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1915"/>
        <w:gridCol w:w="1915"/>
        <w:gridCol w:w="1915"/>
        <w:gridCol w:w="1915"/>
        <w:gridCol w:w="1916"/>
      </w:tblGrid>
      <w:tr>
        <w:trPr/>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Chức danh</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Giám đốc</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Phó giám đốc</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Kế toán trưởng</w:t>
            </w:r>
          </w:p>
        </w:tc>
        <w:tc>
          <w:tcPr>
            <w:tcW w:w="1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Trưởng phòng kinh doanh</w:t>
            </w:r>
          </w:p>
        </w:tc>
      </w:tr>
      <w:tr>
        <w:trPr/>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Mức hưởng phụ cấp trách nhiệm</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đồng</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đồng</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đồng</w:t>
            </w:r>
          </w:p>
        </w:tc>
        <w:tc>
          <w:tcPr>
            <w:tcW w:w="1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đồng</w:t>
            </w:r>
          </w:p>
        </w:tc>
      </w:tr>
    </w:tbl>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2.</w:t>
      </w:r>
      <w:r>
        <w:rPr>
          <w:rFonts w:eastAsia="Times New Roman" w:cs="Times New Roman" w:ascii="Times New Roman" w:hAnsi="Times New Roman"/>
          <w:sz w:val="26"/>
          <w:szCs w:val="26"/>
        </w:rPr>
        <w:t xml:space="preserve"> Tất cả người lao động chính thức (ngoại trừ lao động thời vụ) ký hợp đồng lao động trên 03 tháng: được hưởng các loại phụ cấp sau:</w:t>
      </w:r>
    </w:p>
    <w:tbl>
      <w:tblPr>
        <w:tblStyle w:val="a1"/>
        <w:tblW w:w="9576"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2394"/>
        <w:gridCol w:w="2394"/>
        <w:gridCol w:w="2394"/>
        <w:gridCol w:w="2394"/>
      </w:tblGrid>
      <w:tr>
        <w:trPr/>
        <w:tc>
          <w:tcPr>
            <w:tcW w:w="2394"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sz w:val="26"/>
                <w:szCs w:val="26"/>
              </w:rPr>
              <w:t>Chức danh</w:t>
            </w:r>
          </w:p>
        </w:tc>
        <w:tc>
          <w:tcPr>
            <w:tcW w:w="718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sz w:val="26"/>
                <w:szCs w:val="26"/>
              </w:rPr>
              <w:t>Phụ cấp mỗi tháng</w:t>
            </w:r>
          </w:p>
        </w:tc>
      </w:tr>
      <w:tr>
        <w:trPr/>
        <w:tc>
          <w:tcPr>
            <w:tcW w:w="239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sz w:val="26"/>
                <w:szCs w:val="26"/>
              </w:rPr>
              <w:t>Ăn trưa</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sz w:val="26"/>
                <w:szCs w:val="26"/>
              </w:rPr>
              <w:t>Điện thoại</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sz w:val="26"/>
                <w:szCs w:val="26"/>
              </w:rPr>
              <w:t>Xăng xe</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Giám đốc</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Phó giám đốc</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Kế toán trưởng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Trưởng phòng kinh doanh</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Nhân viên kế toán</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Nhân viên kinh doan</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Nhân viên bán hàng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Thủ quỹ</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Thủ kho</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6"/>
                <w:szCs w:val="26"/>
              </w:rPr>
            </w:pPr>
            <w:r>
              <w:rPr>
                <w:rFonts w:eastAsia="Times New Roman" w:cs="Times New Roman" w:ascii="Times New Roman" w:hAnsi="Times New Roman"/>
                <w:sz w:val="26"/>
                <w:szCs w:val="26"/>
              </w:rPr>
              <w:t>…</w:t>
            </w:r>
            <w:r>
              <w:rPr>
                <w:rFonts w:eastAsia="Times New Roman" w:cs="Times New Roman" w:ascii="Times New Roman" w:hAnsi="Times New Roman"/>
                <w:sz w:val="26"/>
                <w:szCs w:val="26"/>
              </w:rPr>
              <w:t>đồng</w:t>
            </w:r>
          </w:p>
        </w:tc>
      </w:tr>
    </w:tbl>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Ghi chú:</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Mức hưởng trên tính cho 01 tháng làm việc đầy đủ theo ngày công hành chính.</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Mức hưởng cụ thể được ghi trong Hợp đồng lao động hoặc quyết định của hội đồng thành viên cho từng cá nhân.</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Đây là mức phụ cấp cao nhất mà người lao động được phân công làm việc theo các chức danh trên có thể nhận được.</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3.</w:t>
      </w:r>
      <w:r>
        <w:rPr>
          <w:rFonts w:eastAsia="Times New Roman" w:cs="Times New Roman" w:ascii="Times New Roman" w:hAnsi="Times New Roman"/>
          <w:sz w:val="26"/>
          <w:szCs w:val="26"/>
        </w:rPr>
        <w:t xml:space="preserve"> Người lao động ký hợp đồng lao động dưới 03 tháng (thời vụ, khoán, thử việc): được thỏa thuận các khoản phụ cấp cụ thể trong HĐLĐ.</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11</w:t>
      </w:r>
      <w:r>
        <w:rPr>
          <w:rFonts w:eastAsia="Times New Roman" w:cs="Times New Roman" w:ascii="Times New Roman" w:hAnsi="Times New Roman"/>
          <w:b/>
          <w:bCs/>
          <w:sz w:val="26"/>
          <w:szCs w:val="26"/>
        </w:rPr>
        <w:t>. Trợ cấp</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Mức hưởng cụ thể của từng lao động được ghi chi tiết trong Hợp đồng lao động hoặc tại quyết định của hội đồng thành viên trong Công ty.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Tất cả lao động chính thức (ngoại trừ lao động thời vụ) ký hợp đồng lao động từ 06 tháng trở lên được hưởng thêm khoản tiền hỗ trợ thuê nhà từ 1.000.000 đến 2.000.000 đồng mỗi tháng.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12</w:t>
      </w:r>
      <w:r>
        <w:rPr>
          <w:rFonts w:eastAsia="Times New Roman" w:cs="Times New Roman" w:ascii="Times New Roman" w:hAnsi="Times New Roman"/>
          <w:b/>
          <w:bCs/>
          <w:sz w:val="26"/>
          <w:szCs w:val="26"/>
        </w:rPr>
        <w:t>. Các khoản phúc lợi khác</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1.</w:t>
      </w:r>
      <w:r>
        <w:rPr>
          <w:rFonts w:eastAsia="Times New Roman" w:cs="Times New Roman" w:ascii="Times New Roman" w:hAnsi="Times New Roman"/>
          <w:sz w:val="26"/>
          <w:szCs w:val="26"/>
        </w:rPr>
        <w:t xml:space="preserve"> Chế độ hiếu hỉ</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Người lao động: … đồng/người/lần.</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Vợ, chồng, bố mẹ, anh, chị, em ruột: … đồng/người/lần.</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2.</w:t>
      </w:r>
      <w:r>
        <w:rPr>
          <w:rFonts w:eastAsia="Times New Roman" w:cs="Times New Roman" w:ascii="Times New Roman" w:hAnsi="Times New Roman"/>
          <w:sz w:val="26"/>
          <w:szCs w:val="26"/>
        </w:rPr>
        <w:t xml:space="preserve"> Hàng năm: Hàng năm công ty tổ chức cho người lao động đi thăm quan, nghỉ mát, thắng cảnh, du lịch tại địa điểm của do ban lãnh đạo công ty lựa chọn.</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Chương 3</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TÍNH VÀ TRẢ LƯƠNG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1</w:t>
      </w:r>
      <w:r>
        <w:rPr>
          <w:rFonts w:eastAsia="Times New Roman" w:cs="Times New Roman" w:ascii="Times New Roman" w:hAnsi="Times New Roman"/>
          <w:b/>
          <w:bCs/>
          <w:sz w:val="26"/>
          <w:szCs w:val="26"/>
        </w:rPr>
        <w:t>3</w:t>
      </w:r>
      <w:r>
        <w:rPr>
          <w:rFonts w:eastAsia="Times New Roman" w:cs="Times New Roman" w:ascii="Times New Roman" w:hAnsi="Times New Roman"/>
          <w:b/>
          <w:bCs/>
          <w:sz w:val="26"/>
          <w:szCs w:val="26"/>
        </w:rPr>
        <w:t>.</w:t>
      </w:r>
      <w:r>
        <w:rPr>
          <w:rFonts w:eastAsia="Times New Roman" w:cs="Times New Roman" w:ascii="Times New Roman" w:hAnsi="Times New Roman"/>
          <w:sz w:val="26"/>
          <w:szCs w:val="26"/>
        </w:rPr>
        <w:t xml:space="preserve"> </w:t>
      </w:r>
      <w:r>
        <w:rPr>
          <w:rFonts w:eastAsia="Times New Roman" w:cs="Times New Roman" w:ascii="Times New Roman" w:hAnsi="Times New Roman"/>
          <w:b/>
          <w:bCs/>
          <w:sz w:val="26"/>
          <w:szCs w:val="26"/>
        </w:rPr>
        <w:t>Cơ sở tính lương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Việc tính lương dựa trên cơ sở: Chính xác về số liệu, đảm bảo thời gian trả lương cho người lao động đúng quy định.</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Cơ sở tính lương cho người lao động: Căn cứ vào thời gian làm việc tại bảng chấm công.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Tiền lương tháng = (Tiền lương chính + Phụ cấp, trợ cấp nếu có) : 26 x</w:t>
      </w:r>
      <w:r>
        <w:rPr>
          <w:rFonts w:eastAsia="Times New Roman" w:cs="Times New Roman" w:ascii="Times New Roman" w:hAnsi="Times New Roman"/>
          <w:b/>
          <w:bCs/>
          <w:sz w:val="26"/>
          <w:szCs w:val="26"/>
        </w:rPr>
        <w:t xml:space="preserve"> </w:t>
      </w:r>
      <w:r>
        <w:rPr>
          <w:rFonts w:eastAsia="Times New Roman" w:cs="Times New Roman" w:ascii="Times New Roman" w:hAnsi="Times New Roman"/>
          <w:sz w:val="26"/>
          <w:szCs w:val="26"/>
        </w:rPr>
        <w:t>số ngày làm việc thực tế.</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1</w:t>
      </w:r>
      <w:r>
        <w:rPr>
          <w:rFonts w:eastAsia="Times New Roman" w:cs="Times New Roman" w:ascii="Times New Roman" w:hAnsi="Times New Roman"/>
          <w:b/>
          <w:bCs/>
          <w:sz w:val="26"/>
          <w:szCs w:val="26"/>
        </w:rPr>
        <w:t>4</w:t>
      </w:r>
      <w:r>
        <w:rPr>
          <w:rFonts w:eastAsia="Times New Roman" w:cs="Times New Roman" w:ascii="Times New Roman" w:hAnsi="Times New Roman"/>
          <w:b/>
          <w:bCs/>
          <w:sz w:val="26"/>
          <w:szCs w:val="26"/>
        </w:rPr>
        <w:t>. Hạn trả lương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Toàn thể nhân viên Công ty được chi trả tiền lương vào ngày </w:t>
      </w:r>
      <w:r>
        <w:rPr>
          <w:rFonts w:eastAsia="Times New Roman" w:cs="Times New Roman" w:ascii="Times New Roman" w:hAnsi="Times New Roman"/>
          <w:sz w:val="26"/>
          <w:szCs w:val="26"/>
        </w:rPr>
        <w:t>05 hàng</w:t>
      </w:r>
      <w:r>
        <w:rPr>
          <w:rFonts w:eastAsia="Times New Roman" w:cs="Times New Roman" w:ascii="Times New Roman" w:hAnsi="Times New Roman"/>
          <w:sz w:val="26"/>
          <w:szCs w:val="26"/>
        </w:rPr>
        <w:t xml:space="preserve"> tháng. </w:t>
      </w:r>
      <w:r>
        <w:rPr>
          <w:rFonts w:eastAsia="Times New Roman" w:cs="Times New Roman" w:ascii="Times New Roman" w:hAnsi="Times New Roman"/>
          <w:sz w:val="26"/>
          <w:szCs w:val="26"/>
        </w:rPr>
        <w:t>Trường hợp ngày trả lương trùng với ngày nghỉ hàng tuần hoặc ngày lễ, tết thì tiền lương sẽ được ch</w:t>
      </w:r>
      <w:r>
        <w:rPr>
          <w:rFonts w:eastAsia="Times New Roman" w:cs="Times New Roman" w:ascii="Times New Roman" w:hAnsi="Times New Roman"/>
          <w:sz w:val="26"/>
          <w:szCs w:val="26"/>
        </w:rPr>
        <w:t>i</w:t>
      </w:r>
      <w:r>
        <w:rPr>
          <w:rFonts w:eastAsia="Times New Roman" w:cs="Times New Roman" w:ascii="Times New Roman" w:hAnsi="Times New Roman"/>
          <w:sz w:val="26"/>
          <w:szCs w:val="26"/>
        </w:rPr>
        <w:t xml:space="preserve"> trả vào ngày làm việc tiếp theo liền kề ngày nghỉ đó.</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1</w:t>
      </w:r>
      <w:r>
        <w:rPr>
          <w:rFonts w:eastAsia="Times New Roman" w:cs="Times New Roman" w:ascii="Times New Roman" w:hAnsi="Times New Roman"/>
          <w:b/>
          <w:bCs/>
          <w:sz w:val="26"/>
          <w:szCs w:val="26"/>
        </w:rPr>
        <w:t>5</w:t>
      </w:r>
      <w:r>
        <w:rPr>
          <w:rFonts w:eastAsia="Times New Roman" w:cs="Times New Roman" w:ascii="Times New Roman" w:hAnsi="Times New Roman"/>
          <w:b/>
          <w:bCs/>
          <w:sz w:val="26"/>
          <w:szCs w:val="26"/>
        </w:rPr>
        <w:t>. Tiền lương làm thêm giờ</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Căn cứ theo cách tính quy đinh hiện hành của Bộ luật </w:t>
      </w:r>
      <w:r>
        <w:rPr>
          <w:rFonts w:eastAsia="Times New Roman" w:cs="Times New Roman" w:ascii="Times New Roman" w:hAnsi="Times New Roman"/>
          <w:sz w:val="26"/>
          <w:szCs w:val="26"/>
        </w:rPr>
        <w:t>L</w:t>
      </w:r>
      <w:r>
        <w:rPr>
          <w:rFonts w:eastAsia="Times New Roman" w:cs="Times New Roman" w:ascii="Times New Roman" w:hAnsi="Times New Roman"/>
          <w:sz w:val="26"/>
          <w:szCs w:val="26"/>
        </w:rPr>
        <w:t>ao động như sau:</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1.</w:t>
      </w:r>
      <w:r>
        <w:rPr>
          <w:rFonts w:eastAsia="Times New Roman" w:cs="Times New Roman" w:ascii="Times New Roman" w:hAnsi="Times New Roman"/>
          <w:sz w:val="26"/>
          <w:szCs w:val="26"/>
        </w:rPr>
        <w:t xml:space="preserve"> Làm thêm vào ngày thường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Tiền lương làm thêm giờ = Tiền lương (theo giờ) x 150% x Lượng giờ làm thêm</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2.</w:t>
      </w:r>
      <w:r>
        <w:rPr>
          <w:rFonts w:eastAsia="Times New Roman" w:cs="Times New Roman" w:ascii="Times New Roman" w:hAnsi="Times New Roman"/>
          <w:sz w:val="26"/>
          <w:szCs w:val="26"/>
        </w:rPr>
        <w:t xml:space="preserve"> Làm thêm vào ngày Chủ nhật</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Tiền lương làm thêm giờ = Tiền lương (theo giờ) x 200% x Lượng giờ làm thêm</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3. </w:t>
      </w:r>
      <w:r>
        <w:rPr>
          <w:rFonts w:eastAsia="Times New Roman" w:cs="Times New Roman" w:ascii="Times New Roman" w:hAnsi="Times New Roman"/>
          <w:sz w:val="26"/>
          <w:szCs w:val="26"/>
        </w:rPr>
        <w:t>Làm thêm vào ngày Lễ, Tết:</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Tiền lương làm thêm giờ = Tiền lương (theo giờ) x 300% x Lượng giờ làm thêm</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1</w:t>
      </w:r>
      <w:r>
        <w:rPr>
          <w:rFonts w:eastAsia="Times New Roman" w:cs="Times New Roman" w:ascii="Times New Roman" w:hAnsi="Times New Roman"/>
          <w:b/>
          <w:bCs/>
          <w:sz w:val="26"/>
          <w:szCs w:val="26"/>
        </w:rPr>
        <w:t>6</w:t>
      </w:r>
      <w:r>
        <w:rPr>
          <w:rFonts w:eastAsia="Times New Roman" w:cs="Times New Roman" w:ascii="Times New Roman" w:hAnsi="Times New Roman"/>
          <w:b/>
          <w:bCs/>
          <w:sz w:val="26"/>
          <w:szCs w:val="26"/>
        </w:rPr>
        <w:t>. Công tác phí</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1.</w:t>
      </w:r>
      <w:r>
        <w:rPr>
          <w:rFonts w:eastAsia="Times New Roman" w:cs="Times New Roman" w:ascii="Times New Roman" w:hAnsi="Times New Roman"/>
          <w:sz w:val="26"/>
          <w:szCs w:val="26"/>
        </w:rPr>
        <w:t xml:space="preserve"> Đi về trong ngày: … đồng/ngày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2. </w:t>
      </w:r>
      <w:r>
        <w:rPr>
          <w:rFonts w:eastAsia="Times New Roman" w:cs="Times New Roman" w:ascii="Times New Roman" w:hAnsi="Times New Roman"/>
          <w:sz w:val="26"/>
          <w:szCs w:val="26"/>
        </w:rPr>
        <w:t>Đi về cách ngày: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Cán bộ đến công tác tại nơi núi cao, hải đảo, biên giới, vùng sau hưởng phụ cấp … đồng/ngày.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Cán bộ công tác tại thành phố lớn như thành phố Hà Nội, thành phố Hồ Chí Minh, thành phố Đà Nẵng và các tỉnh đồng bằng, trung du hưởng phụ cấp … đồng/ngày.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Ngoài tiền phụ cấp lưu trú trên, người lao động sẽ được thanh toán tất cả chi phí ăn ở, đi lại theo thực tế phát sinh (theo chứng từ xác nhận).</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1</w:t>
      </w:r>
      <w:r>
        <w:rPr>
          <w:rFonts w:eastAsia="Times New Roman" w:cs="Times New Roman" w:ascii="Times New Roman" w:hAnsi="Times New Roman"/>
          <w:b/>
          <w:bCs/>
          <w:sz w:val="26"/>
          <w:szCs w:val="26"/>
        </w:rPr>
        <w:t>7</w:t>
      </w:r>
      <w:r>
        <w:rPr>
          <w:rFonts w:eastAsia="Times New Roman" w:cs="Times New Roman" w:ascii="Times New Roman" w:hAnsi="Times New Roman"/>
          <w:b/>
          <w:bCs/>
          <w:sz w:val="26"/>
          <w:szCs w:val="26"/>
        </w:rPr>
        <w:t>. Ngày nghỉ được hưởng nguyên lương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1. </w:t>
      </w:r>
      <w:r>
        <w:rPr>
          <w:rFonts w:eastAsia="Times New Roman" w:cs="Times New Roman" w:ascii="Times New Roman" w:hAnsi="Times New Roman"/>
          <w:sz w:val="26"/>
          <w:szCs w:val="26"/>
        </w:rPr>
        <w:t>Nghỉ Lễ, Tết: Theo quy định của Bộ luật lao động.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2.</w:t>
      </w:r>
      <w:r>
        <w:rPr>
          <w:rFonts w:eastAsia="Times New Roman" w:cs="Times New Roman" w:ascii="Times New Roman" w:hAnsi="Times New Roman"/>
          <w:sz w:val="26"/>
          <w:szCs w:val="26"/>
        </w:rPr>
        <w:t xml:space="preserve"> Bản thân kết hôn: Nghỉ 03 ngày.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3.</w:t>
      </w:r>
      <w:r>
        <w:rPr>
          <w:rFonts w:eastAsia="Times New Roman" w:cs="Times New Roman" w:ascii="Times New Roman" w:hAnsi="Times New Roman"/>
          <w:sz w:val="26"/>
          <w:szCs w:val="26"/>
        </w:rPr>
        <w:t xml:space="preserve"> Con kết hôn: Nghỉ 01 ngày.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4. </w:t>
      </w:r>
      <w:r>
        <w:rPr>
          <w:rFonts w:eastAsia="Times New Roman" w:cs="Times New Roman" w:ascii="Times New Roman" w:hAnsi="Times New Roman"/>
          <w:sz w:val="26"/>
          <w:szCs w:val="26"/>
        </w:rPr>
        <w:t>Cha mẹ chết (kể cả bên chồng, vợ) vợ hoặc chồng, con chết: Nghỉ 03 ngày.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5. </w:t>
      </w:r>
      <w:r>
        <w:rPr>
          <w:rFonts w:eastAsia="Times New Roman" w:cs="Times New Roman" w:ascii="Times New Roman" w:hAnsi="Times New Roman"/>
          <w:sz w:val="26"/>
          <w:szCs w:val="26"/>
        </w:rPr>
        <w:t>Nghỉ phép: Người lao động xin thôi việc có đơn xin nghỉ phép mà chưa nghỉ phép năm hoặc chưa được nghỉ hết số ngày phép năm thì sẽ được thanh toán tiền những ngày chưa nghỉ này.</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Người lao động đang trong thời gian thử việc hoặc chưa ký hợp đồng lao động thì chưa hưởng các chế độ của nhà nước quy định.</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Chương 4</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THỦ TỤC VÀ CHẾ ĐỘ XÉT TĂNG LƯƠNG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1</w:t>
      </w:r>
      <w:r>
        <w:rPr>
          <w:rFonts w:eastAsia="Times New Roman" w:cs="Times New Roman" w:ascii="Times New Roman" w:hAnsi="Times New Roman"/>
          <w:b/>
          <w:bCs/>
          <w:sz w:val="26"/>
          <w:szCs w:val="26"/>
        </w:rPr>
        <w:t>8</w:t>
      </w:r>
      <w:r>
        <w:rPr>
          <w:rFonts w:eastAsia="Times New Roman" w:cs="Times New Roman" w:ascii="Times New Roman" w:hAnsi="Times New Roman"/>
          <w:b/>
          <w:bCs/>
          <w:sz w:val="26"/>
          <w:szCs w:val="26"/>
        </w:rPr>
        <w:t xml:space="preserve">. Chế độ xét tăng lương </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Mỗi năm lãnh đạo công ty sẽ họp bàn xét tăng lương cho nhân viên một lần vào tháng 04 hàng năm.</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Niên hạn và đối tượng được xét tăng lương: Những nhân viên có đủ thâm niên 02 năm hưởng một mức lương (kể từ ngày xếp lương lần liền kề với ngày xét tăng lương mới) với điều kiện là hoàn thành tốt công việc được giao, không vi phạm quy định lao động.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Trường hợp có vi phạm cho vào diện xét thì năm sau mới được xét nâng lương, và với điều kiện không tái phạm kỷ luật lao động.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1</w:t>
      </w:r>
      <w:r>
        <w:rPr>
          <w:rFonts w:eastAsia="Times New Roman" w:cs="Times New Roman" w:ascii="Times New Roman" w:hAnsi="Times New Roman"/>
          <w:b/>
          <w:bCs/>
          <w:sz w:val="26"/>
          <w:szCs w:val="26"/>
        </w:rPr>
        <w:t>9</w:t>
      </w:r>
      <w:r>
        <w:rPr>
          <w:rFonts w:eastAsia="Times New Roman" w:cs="Times New Roman" w:ascii="Times New Roman" w:hAnsi="Times New Roman"/>
          <w:b/>
          <w:bCs/>
          <w:sz w:val="26"/>
          <w:szCs w:val="26"/>
        </w:rPr>
        <w:t xml:space="preserve">. Thủ tục xét nâng lương </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Ban lãnh đạo Công ty sẽ họp và công bố việc xét duyệt để xét duyệt. Những nhân viên chưa được xét tăng lương thì Giám đốc Công ty sẽ giải thích cho cán bộ công nhân viên yên tâm công tác.</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20</w:t>
      </w:r>
      <w:r>
        <w:rPr>
          <w:rFonts w:eastAsia="Times New Roman" w:cs="Times New Roman" w:ascii="Times New Roman" w:hAnsi="Times New Roman"/>
          <w:b/>
          <w:bCs/>
          <w:sz w:val="26"/>
          <w:szCs w:val="26"/>
        </w:rPr>
        <w:t>. Mức nâng của mỗi bậc lương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Nâng lương từ 10 đến 20% mức lương hiện tại tùy theo hiệu quả kinh doanh của Công ty. </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Chương 5</w:t>
      </w:r>
    </w:p>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CHẾ ĐỘ THƯỞNG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21</w:t>
      </w:r>
      <w:r>
        <w:rPr>
          <w:rFonts w:eastAsia="Times New Roman" w:cs="Times New Roman" w:ascii="Times New Roman" w:hAnsi="Times New Roman"/>
          <w:b/>
          <w:bCs/>
          <w:sz w:val="26"/>
          <w:szCs w:val="26"/>
        </w:rPr>
        <w:t>. Thưởng thâm niên</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Nhân viên làm việc tại Công ty trên 03 năm sẽ có mức thưởng được ban bố vào đợt chi trả lương tháng cuối cùng trong năm.</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Nhân viên kinh doanh đạt doanh thu do Ban giám đốc giao được thưởng phần trăm doanh thu hàng tháng, vượt doanh thu thì Giám đốc kinh doanh sẽ làm tờ trình về mức hưởng cho từng nhân viên trình Ban giám đốc duyệt và chuyển cho phòng Ké toán trả cùng với lương tháng.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22</w:t>
      </w:r>
      <w:r>
        <w:rPr>
          <w:rFonts w:eastAsia="Times New Roman" w:cs="Times New Roman" w:ascii="Times New Roman" w:hAnsi="Times New Roman"/>
          <w:b/>
          <w:bCs/>
          <w:sz w:val="26"/>
          <w:szCs w:val="26"/>
        </w:rPr>
        <w:t>. Thưởng Tết Âm lịch</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Công ty nếu kinh doanh có lãi sẽ trích lợi nhuận để thưởng tặng quà cho nhân viên, mức thưởng tùy thuộc vào lợi nhuận của từng năm.</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 xml:space="preserve">Điều </w:t>
      </w:r>
      <w:r>
        <w:rPr>
          <w:rFonts w:eastAsia="Times New Roman" w:cs="Times New Roman" w:ascii="Times New Roman" w:hAnsi="Times New Roman"/>
          <w:b/>
          <w:bCs/>
          <w:sz w:val="26"/>
          <w:szCs w:val="26"/>
        </w:rPr>
        <w:t>23</w:t>
      </w:r>
      <w:r>
        <w:rPr>
          <w:rFonts w:eastAsia="Times New Roman" w:cs="Times New Roman" w:ascii="Times New Roman" w:hAnsi="Times New Roman"/>
          <w:b/>
          <w:bCs/>
          <w:sz w:val="26"/>
          <w:szCs w:val="26"/>
        </w:rPr>
        <w:t>. Thưởng ngày Quốc khánh, Tết Dương lịch, Ngày Chiến thắng, Quốc tế Lao động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Tiền thưởng từ … đồng đến … đồng.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Mức thưởng cụ thể của từng nhân viên sẽ được ghi trong Quyết định của hội đồng thành viên Công ty tại thời điểm thưởng.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b/>
          <w:bCs/>
          <w:sz w:val="26"/>
          <w:szCs w:val="26"/>
        </w:rPr>
        <w:t>Điều 2</w:t>
      </w:r>
      <w:r>
        <w:rPr>
          <w:rFonts w:eastAsia="Times New Roman" w:cs="Times New Roman" w:ascii="Times New Roman" w:hAnsi="Times New Roman"/>
          <w:b/>
          <w:bCs/>
          <w:sz w:val="26"/>
          <w:szCs w:val="26"/>
        </w:rPr>
        <w:t>4</w:t>
      </w:r>
      <w:r>
        <w:rPr>
          <w:rFonts w:eastAsia="Times New Roman" w:cs="Times New Roman" w:ascii="Times New Roman" w:hAnsi="Times New Roman"/>
          <w:b/>
          <w:bCs/>
          <w:sz w:val="26"/>
          <w:szCs w:val="26"/>
        </w:rPr>
        <w:t>. Thưởng đạt doanh thu</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Cuối mỗi năm dương lịch, phòng kinh doanh đạt doanh thu do Ban Giám đốc giao sẽ được hưởng phần trăm doanh thu tháng.</w:t>
      </w:r>
    </w:p>
    <w:p>
      <w:pPr>
        <w:pStyle w:val="Normal"/>
        <w:spacing w:lineRule="auto" w:line="240" w:before="120" w:after="120"/>
        <w:jc w:val="both"/>
        <w:rPr>
          <w:rFonts w:ascii="Times New Roman" w:hAnsi="Times New Roman"/>
          <w:sz w:val="26"/>
          <w:szCs w:val="26"/>
        </w:rPr>
      </w:pPr>
      <w:r>
        <w:rPr>
          <w:rFonts w:eastAsia="Times New Roman" w:cs="Times New Roman" w:ascii="Times New Roman" w:hAnsi="Times New Roman"/>
          <w:sz w:val="26"/>
          <w:szCs w:val="26"/>
        </w:rPr>
        <w:t>Trên đây là nội dung quy định về tiền thưởng, tiền lương, phụ cấp, trợ cấp áp dụng cho cán bộ công nhân viên tại Công ty. Giao cho trưởng phòng hành chính nhân sự và Kế toán trưởng Công ty, triển khai thực hiện.</w:t>
      </w:r>
    </w:p>
    <w:tbl>
      <w:tblPr>
        <w:tblStyle w:val="a2"/>
        <w:tblW w:w="9576"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4788"/>
        <w:gridCol w:w="4788"/>
      </w:tblGrid>
      <w:tr>
        <w:trPr/>
        <w:tc>
          <w:tcPr>
            <w:tcW w:w="4788" w:type="dxa"/>
            <w:tcBorders/>
          </w:tcPr>
          <w:p>
            <w:pPr>
              <w:pStyle w:val="Normal"/>
              <w:spacing w:lineRule="auto" w:line="240"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4788" w:type="dxa"/>
            <w:tcBorders/>
          </w:tcPr>
          <w:p>
            <w:pPr>
              <w:pStyle w:val="Normal"/>
              <w:spacing w:lineRule="auto" w:line="240" w:before="120" w:after="120"/>
              <w:jc w:val="center"/>
              <w:rPr>
                <w:rFonts w:ascii="Times New Roman" w:hAnsi="Times New Roman"/>
                <w:sz w:val="26"/>
                <w:szCs w:val="26"/>
              </w:rPr>
            </w:pPr>
            <w:r>
              <w:rPr>
                <w:rFonts w:eastAsia="Times New Roman" w:cs="Times New Roman" w:ascii="Times New Roman" w:hAnsi="Times New Roman"/>
                <w:b/>
                <w:bCs/>
                <w:sz w:val="26"/>
                <w:szCs w:val="26"/>
              </w:rPr>
              <w:t>T.M Ban Giám đốc</w:t>
            </w:r>
          </w:p>
          <w:p>
            <w:pPr>
              <w:pStyle w:val="Normal"/>
              <w:spacing w:lineRule="auto" w:line="240" w:before="120" w:after="120"/>
              <w:jc w:val="center"/>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Giám đốc</w:t>
            </w:r>
          </w:p>
          <w:p>
            <w:pPr>
              <w:pStyle w:val="Normal"/>
              <w:spacing w:lineRule="auto" w:line="240" w:before="120" w:after="120"/>
              <w:jc w:val="center"/>
              <w:rPr>
                <w:rFonts w:ascii="Times New Roman" w:hAnsi="Times New Roman" w:eastAsia="Times New Roman" w:cs="Times New Roman"/>
                <w:b w:val="false"/>
                <w:bCs w:val="false"/>
                <w:i/>
                <w:iCs/>
                <w:sz w:val="26"/>
                <w:szCs w:val="26"/>
              </w:rPr>
            </w:pPr>
            <w:r>
              <w:rPr>
                <w:rFonts w:eastAsia="Times New Roman" w:cs="Times New Roman" w:ascii="Times New Roman" w:hAnsi="Times New Roman"/>
                <w:b w:val="false"/>
                <w:bCs w:val="false"/>
                <w:i/>
                <w:iCs/>
                <w:sz w:val="26"/>
                <w:szCs w:val="26"/>
              </w:rPr>
              <w:t>(ký tên và đóng dấu)</w:t>
            </w:r>
          </w:p>
          <w:p>
            <w:pPr>
              <w:pStyle w:val="Normal"/>
              <w:spacing w:lineRule="auto" w:line="240" w:before="120" w:after="12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spacing w:lineRule="auto" w:line="240" w:before="120" w:after="12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spacing w:lineRule="auto" w:line="240" w:before="120" w:after="120"/>
              <w:jc w:val="center"/>
              <w:rPr>
                <w:rFonts w:ascii="Times New Roman" w:hAnsi="Times New Roman" w:eastAsia="Times New Roman" w:cs="Times New Roman"/>
                <w:b/>
                <w:bCs/>
                <w:color w:val="FF0000"/>
                <w:sz w:val="26"/>
                <w:szCs w:val="26"/>
              </w:rPr>
            </w:pPr>
            <w:r>
              <w:rPr>
                <w:rFonts w:eastAsia="Times New Roman" w:cs="Times New Roman" w:ascii="Times New Roman" w:hAnsi="Times New Roman"/>
                <w:b/>
                <w:bCs/>
                <w:color w:val="FF0000"/>
                <w:sz w:val="26"/>
                <w:szCs w:val="26"/>
              </w:rPr>
            </w:r>
          </w:p>
        </w:tc>
      </w:tr>
    </w:tbl>
    <w:p>
      <w:pPr>
        <w:sectPr>
          <w:type w:val="nextPage"/>
          <w:pgSz w:w="12240" w:h="15840"/>
          <w:pgMar w:left="1440" w:right="1440" w:gutter="0" w:header="0" w:top="1440" w:footer="0" w:bottom="1440"/>
          <w:pgNumType w:start="1" w:fmt="decimal"/>
          <w:formProt w:val="false"/>
          <w:textDirection w:val="lrTb"/>
          <w:docGrid w:type="default" w:linePitch="100" w:charSpace="0"/>
        </w:sectPr>
      </w:pPr>
    </w:p>
    <w:p>
      <w:pPr>
        <w:pStyle w:val="Title"/>
        <w:keepNext w:val="false"/>
        <w:keepLines w:val="false"/>
        <w:widowControl w:val="false"/>
        <w:pBdr/>
        <w:spacing w:lineRule="auto" w:line="240" w:before="0" w:after="0"/>
        <w:rPr>
          <w:rFonts w:ascii="Times New Roman" w:hAnsi="Times New Roman"/>
          <w:sz w:val="26"/>
          <w:szCs w:val="26"/>
        </w:rPr>
      </w:pPr>
      <w:r>
        <w:rPr>
          <w:rFonts w:ascii="Times New Roman" w:hAnsi="Times New Roman"/>
          <w:sz w:val="26"/>
          <w:szCs w:val="26"/>
        </w:rPr>
      </w:r>
      <w:bookmarkStart w:id="0" w:name="_su1vm6ggmkrr"/>
      <w:bookmarkEnd w:id="0"/>
    </w:p>
    <w:sectPr>
      <w:type w:val="nextPage"/>
      <w:pgSz w:w="12240" w:h="15840"/>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0"/>
      <w:jc w:val="start"/>
    </w:pPr>
    <w:rPr>
      <w:rFonts w:ascii="Arial" w:hAnsi="Arial" w:eastAsia="Arial" w:cs="Arial"/>
      <w:color w:val="auto"/>
      <w:kern w:val="0"/>
      <w:sz w:val="22"/>
      <w:szCs w:val="22"/>
      <w:lang w:val="en-US" w:eastAsia="en-US"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iCs/>
      <w:color w:val="666666"/>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CE68A-C860-404A-AFBB-97F6C7E69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LibreOffice/26.2.5.2$Windows_X86_64 LibreOffice_project/cd7284b4cbbfeb507e630c1aac019f4157393acb</Application>
  <AppVersion>15.0000</AppVersion>
  <Pages>7</Pages>
  <Words>1884</Words>
  <Characters>6942</Characters>
  <CharactersWithSpaces>8686</CharactersWithSpaces>
  <Paragraphs>160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2026-02-11T06:55:00Z</dcterms:created>
  <dc:creator/>
  <dc:description/>
  <dc:language>en-US</dc:language>
  <cp:lastModifiedBy/>
  <dcterms:modified xsi:type="dcterms:W3CDTF">2026-09-09T08:35:05Z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